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EF0EA" w14:textId="77777777" w:rsidR="00ED280C" w:rsidRPr="0050299A" w:rsidRDefault="00ED280C" w:rsidP="00ED280C">
      <w:pPr>
        <w:rPr>
          <w:rFonts w:ascii="Arial" w:hAnsi="Arial" w:cs="Arial"/>
          <w:b/>
          <w:color w:val="2E308B"/>
          <w:sz w:val="20"/>
          <w:szCs w:val="20"/>
        </w:rPr>
      </w:pPr>
      <w:bookmarkStart w:id="0" w:name="_Hlk123077876"/>
      <w:r>
        <w:rPr>
          <w:rFonts w:ascii="Arial" w:hAnsi="Arial" w:cs="Arial"/>
          <w:b/>
          <w:bCs/>
          <w:noProof/>
          <w:color w:val="2E308B"/>
          <w:sz w:val="20"/>
          <w:szCs w:val="20"/>
        </w:rPr>
        <w:drawing>
          <wp:anchor distT="0" distB="0" distL="114300" distR="114300" simplePos="0" relativeHeight="251659264" behindDoc="0" locked="0" layoutInCell="1" allowOverlap="1" wp14:anchorId="42D46A91" wp14:editId="6A090FB2">
            <wp:simplePos x="0" y="0"/>
            <wp:positionH relativeFrom="page">
              <wp:posOffset>4398188</wp:posOffset>
            </wp:positionH>
            <wp:positionV relativeFrom="paragraph">
              <wp:posOffset>58567</wp:posOffset>
            </wp:positionV>
            <wp:extent cx="2796845" cy="1863725"/>
            <wp:effectExtent l="190500" t="190500" r="194310" b="193675"/>
            <wp:wrapNone/>
            <wp:docPr id="56976" name="Picture 5697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6" name="Picture 56976" descr="A picture containing text, night sky&#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4973"/>
                    <a:stretch/>
                  </pic:blipFill>
                  <pic:spPr bwMode="auto">
                    <a:xfrm>
                      <a:off x="0" y="0"/>
                      <a:ext cx="2797409" cy="18641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2E308B"/>
          <w:sz w:val="32"/>
          <w:szCs w:val="32"/>
        </w:rPr>
        <w:t xml:space="preserve">Los Angeles </w:t>
      </w:r>
      <w:r w:rsidRPr="0050299A">
        <w:rPr>
          <w:rFonts w:ascii="Arial" w:hAnsi="Arial" w:cs="Arial"/>
          <w:b/>
          <w:color w:val="2E308B"/>
          <w:sz w:val="32"/>
          <w:szCs w:val="32"/>
        </w:rPr>
        <w:t>County Housing Report:</w:t>
      </w:r>
      <w:r w:rsidRPr="0050299A">
        <w:rPr>
          <w:rFonts w:ascii="Arial" w:hAnsi="Arial" w:cs="Arial"/>
          <w:b/>
          <w:color w:val="2E308B"/>
          <w:sz w:val="20"/>
          <w:szCs w:val="20"/>
        </w:rPr>
        <w:t xml:space="preserve"> </w:t>
      </w:r>
    </w:p>
    <w:p w14:paraId="6A7D05A4" w14:textId="77777777" w:rsidR="00ED280C" w:rsidRPr="00A7776E" w:rsidRDefault="00ED280C" w:rsidP="00ED280C">
      <w:pPr>
        <w:spacing w:after="160"/>
        <w:rPr>
          <w:rFonts w:ascii="Arial" w:hAnsi="Arial" w:cs="Arial"/>
          <w:b/>
          <w:color w:val="2E308B"/>
          <w:sz w:val="48"/>
          <w:szCs w:val="48"/>
        </w:rPr>
      </w:pPr>
      <w:r>
        <w:rPr>
          <w:rFonts w:ascii="Arial" w:hAnsi="Arial" w:cs="Arial"/>
          <w:b/>
          <w:color w:val="2E308B"/>
          <w:sz w:val="48"/>
          <w:szCs w:val="48"/>
        </w:rPr>
        <w:t>A 2023 Forecast</w:t>
      </w:r>
    </w:p>
    <w:p w14:paraId="594E4D1A" w14:textId="77777777" w:rsidR="00ED280C" w:rsidRPr="00480857" w:rsidRDefault="00ED280C" w:rsidP="00ED280C">
      <w:pPr>
        <w:rPr>
          <w:rFonts w:ascii="Arial" w:hAnsi="Arial" w:cs="Arial"/>
          <w:b/>
          <w:bCs/>
          <w:color w:val="2E308B"/>
          <w:sz w:val="20"/>
          <w:szCs w:val="20"/>
        </w:rPr>
      </w:pPr>
      <w:r>
        <w:rPr>
          <w:rFonts w:ascii="Arial" w:hAnsi="Arial" w:cs="Arial"/>
          <w:b/>
          <w:bCs/>
          <w:color w:val="2E308B"/>
          <w:sz w:val="20"/>
          <w:szCs w:val="20"/>
        </w:rPr>
        <w:t>December 27, 2022</w:t>
      </w:r>
    </w:p>
    <w:p w14:paraId="2BF0C732" w14:textId="77777777" w:rsidR="00ED280C" w:rsidRPr="000D1BC9" w:rsidRDefault="00ED280C" w:rsidP="00ED280C">
      <w:pPr>
        <w:rPr>
          <w:rFonts w:ascii="Arial" w:hAnsi="Arial" w:cs="Arial"/>
          <w:b/>
          <w:color w:val="2E308B"/>
          <w:sz w:val="20"/>
          <w:szCs w:val="20"/>
        </w:rPr>
      </w:pPr>
    </w:p>
    <w:p w14:paraId="4F16A074" w14:textId="77777777" w:rsidR="00ED280C" w:rsidRDefault="00ED280C" w:rsidP="00ED280C">
      <w:pPr>
        <w:rPr>
          <w:rFonts w:ascii="Arial" w:hAnsi="Arial" w:cs="Arial"/>
          <w:b/>
          <w:color w:val="2E308B"/>
          <w:sz w:val="20"/>
          <w:szCs w:val="20"/>
        </w:rPr>
      </w:pPr>
      <w:r w:rsidRPr="00C97399">
        <w:rPr>
          <w:rFonts w:ascii="Arial" w:hAnsi="Arial" w:cs="Arial"/>
          <w:b/>
          <w:color w:val="2E308B"/>
          <w:sz w:val="20"/>
          <w:szCs w:val="20"/>
        </w:rPr>
        <w:t xml:space="preserve">HAPPY NEW YEAR!!!  Now, what does that mean for </w:t>
      </w:r>
    </w:p>
    <w:p w14:paraId="3216736F" w14:textId="77777777" w:rsidR="00ED280C" w:rsidRDefault="00ED280C" w:rsidP="00ED280C">
      <w:pPr>
        <w:rPr>
          <w:rFonts w:ascii="Arial" w:hAnsi="Arial" w:cs="Arial"/>
          <w:b/>
          <w:color w:val="2E308B"/>
          <w:sz w:val="20"/>
          <w:szCs w:val="20"/>
        </w:rPr>
      </w:pPr>
      <w:r>
        <w:rPr>
          <w:rFonts w:ascii="Arial" w:hAnsi="Arial" w:cs="Arial"/>
          <w:b/>
          <w:color w:val="2E308B"/>
          <w:sz w:val="20"/>
          <w:szCs w:val="20"/>
        </w:rPr>
        <w:t>Los Angeles</w:t>
      </w:r>
      <w:r w:rsidRPr="00C97399">
        <w:rPr>
          <w:rFonts w:ascii="Arial" w:hAnsi="Arial" w:cs="Arial"/>
          <w:b/>
          <w:color w:val="2E308B"/>
          <w:sz w:val="20"/>
          <w:szCs w:val="20"/>
        </w:rPr>
        <w:t xml:space="preserve"> County</w:t>
      </w:r>
      <w:r>
        <w:rPr>
          <w:rFonts w:ascii="Arial" w:hAnsi="Arial" w:cs="Arial"/>
          <w:b/>
          <w:color w:val="2E308B"/>
          <w:sz w:val="20"/>
          <w:szCs w:val="20"/>
        </w:rPr>
        <w:t xml:space="preserve"> </w:t>
      </w:r>
      <w:r w:rsidRPr="00C97399">
        <w:rPr>
          <w:rFonts w:ascii="Arial" w:hAnsi="Arial" w:cs="Arial"/>
          <w:b/>
          <w:color w:val="2E308B"/>
          <w:sz w:val="20"/>
          <w:szCs w:val="20"/>
        </w:rPr>
        <w:t>real estate?</w:t>
      </w:r>
    </w:p>
    <w:p w14:paraId="22573561" w14:textId="77777777" w:rsidR="00ED280C" w:rsidRDefault="00ED280C" w:rsidP="00ED280C">
      <w:pPr>
        <w:rPr>
          <w:rFonts w:ascii="Arial" w:hAnsi="Arial" w:cs="Arial"/>
          <w:b/>
          <w:color w:val="2E308B"/>
          <w:sz w:val="20"/>
          <w:szCs w:val="20"/>
        </w:rPr>
      </w:pPr>
    </w:p>
    <w:p w14:paraId="06A78BBB" w14:textId="77777777" w:rsidR="00ED280C" w:rsidRDefault="00ED280C" w:rsidP="00ED280C">
      <w:pPr>
        <w:rPr>
          <w:rFonts w:ascii="Arial" w:hAnsi="Arial" w:cs="Arial"/>
          <w:b/>
          <w:color w:val="2E308B"/>
          <w:sz w:val="20"/>
          <w:szCs w:val="20"/>
        </w:rPr>
      </w:pPr>
      <w:r w:rsidRPr="00C97399">
        <w:rPr>
          <w:rFonts w:ascii="Arial" w:hAnsi="Arial" w:cs="Arial"/>
          <w:b/>
          <w:color w:val="2E308B"/>
          <w:sz w:val="20"/>
          <w:szCs w:val="20"/>
        </w:rPr>
        <w:t>First, let</w:t>
      </w:r>
      <w:r>
        <w:rPr>
          <w:rFonts w:ascii="Arial" w:hAnsi="Arial" w:cs="Arial"/>
          <w:b/>
          <w:color w:val="2E308B"/>
          <w:sz w:val="20"/>
          <w:szCs w:val="20"/>
        </w:rPr>
        <w:t xml:space="preserve"> us</w:t>
      </w:r>
      <w:r w:rsidRPr="00C97399">
        <w:rPr>
          <w:rFonts w:ascii="Arial" w:hAnsi="Arial" w:cs="Arial"/>
          <w:b/>
          <w:color w:val="2E308B"/>
          <w:sz w:val="20"/>
          <w:szCs w:val="20"/>
        </w:rPr>
        <w:t xml:space="preserve"> look back at what happened in 20</w:t>
      </w:r>
      <w:r>
        <w:rPr>
          <w:rFonts w:ascii="Arial" w:hAnsi="Arial" w:cs="Arial"/>
          <w:b/>
          <w:color w:val="2E308B"/>
          <w:sz w:val="20"/>
          <w:szCs w:val="20"/>
        </w:rPr>
        <w:t>22</w:t>
      </w:r>
      <w:r w:rsidRPr="00C97399">
        <w:rPr>
          <w:rFonts w:ascii="Arial" w:hAnsi="Arial" w:cs="Arial"/>
          <w:b/>
          <w:color w:val="2E308B"/>
          <w:sz w:val="20"/>
          <w:szCs w:val="20"/>
        </w:rPr>
        <w:t xml:space="preserve"> in terms </w:t>
      </w:r>
    </w:p>
    <w:p w14:paraId="4A02A7C4" w14:textId="77777777" w:rsidR="00ED280C" w:rsidRDefault="00ED280C" w:rsidP="00ED280C">
      <w:pPr>
        <w:rPr>
          <w:rFonts w:ascii="Arial" w:hAnsi="Arial" w:cs="Arial"/>
          <w:b/>
          <w:color w:val="2E308B"/>
          <w:sz w:val="20"/>
          <w:szCs w:val="20"/>
        </w:rPr>
      </w:pPr>
      <w:r w:rsidRPr="00C97399">
        <w:rPr>
          <w:rFonts w:ascii="Arial" w:hAnsi="Arial" w:cs="Arial"/>
          <w:b/>
          <w:color w:val="2E308B"/>
          <w:sz w:val="20"/>
          <w:szCs w:val="20"/>
        </w:rPr>
        <w:t xml:space="preserve">of inventory, demand, luxury properties, and </w:t>
      </w:r>
      <w:r>
        <w:rPr>
          <w:rFonts w:ascii="Arial" w:hAnsi="Arial" w:cs="Arial"/>
          <w:b/>
          <w:color w:val="2E308B"/>
          <w:sz w:val="20"/>
          <w:szCs w:val="20"/>
        </w:rPr>
        <w:t xml:space="preserve">the </w:t>
      </w:r>
      <w:r w:rsidRPr="00C97399">
        <w:rPr>
          <w:rFonts w:ascii="Arial" w:hAnsi="Arial" w:cs="Arial"/>
          <w:b/>
          <w:color w:val="2E308B"/>
          <w:sz w:val="20"/>
          <w:szCs w:val="20"/>
        </w:rPr>
        <w:t xml:space="preserve">Expected </w:t>
      </w:r>
    </w:p>
    <w:p w14:paraId="231EB61D" w14:textId="5796A9F3" w:rsidR="00ED280C" w:rsidRDefault="00ED280C" w:rsidP="00ED280C">
      <w:pPr>
        <w:rPr>
          <w:rFonts w:ascii="Arial" w:hAnsi="Arial" w:cs="Arial"/>
          <w:b/>
          <w:color w:val="2E308B"/>
          <w:sz w:val="20"/>
          <w:szCs w:val="20"/>
        </w:rPr>
      </w:pPr>
      <w:r w:rsidRPr="00C97399">
        <w:rPr>
          <w:rFonts w:ascii="Arial" w:hAnsi="Arial" w:cs="Arial"/>
          <w:b/>
          <w:color w:val="2E308B"/>
          <w:sz w:val="20"/>
          <w:szCs w:val="20"/>
        </w:rPr>
        <w:t>Market Time.</w:t>
      </w:r>
      <w:r>
        <w:rPr>
          <w:rFonts w:ascii="Arial" w:hAnsi="Arial" w:cs="Arial"/>
          <w:b/>
          <w:color w:val="2E308B"/>
          <w:sz w:val="20"/>
          <w:szCs w:val="20"/>
        </w:rPr>
        <w:t xml:space="preserve"> </w:t>
      </w:r>
    </w:p>
    <w:p w14:paraId="6C3D3E17" w14:textId="77777777" w:rsidR="00ED280C" w:rsidRDefault="00ED280C" w:rsidP="00ED280C">
      <w:pPr>
        <w:rPr>
          <w:rFonts w:ascii="Arial" w:hAnsi="Arial" w:cs="Arial"/>
          <w:b/>
          <w:color w:val="2E308B"/>
          <w:sz w:val="20"/>
          <w:szCs w:val="20"/>
        </w:rPr>
      </w:pPr>
    </w:p>
    <w:p w14:paraId="0483E41B" w14:textId="77777777" w:rsidR="00ED280C" w:rsidRPr="000D1BC9" w:rsidRDefault="00ED280C" w:rsidP="00ED280C">
      <w:pPr>
        <w:rPr>
          <w:rFonts w:ascii="Arial" w:hAnsi="Arial" w:cs="Arial"/>
          <w:b/>
          <w:color w:val="2E308B"/>
          <w:sz w:val="40"/>
          <w:szCs w:val="40"/>
        </w:rPr>
      </w:pPr>
      <w:r>
        <w:rPr>
          <w:rFonts w:ascii="Arial" w:hAnsi="Arial" w:cs="Arial"/>
          <w:b/>
          <w:color w:val="2E308B"/>
          <w:sz w:val="40"/>
          <w:szCs w:val="40"/>
        </w:rPr>
        <w:t>Active Inventory</w:t>
      </w:r>
    </w:p>
    <w:p w14:paraId="52D29B13" w14:textId="77777777" w:rsidR="00ED280C" w:rsidRDefault="00ED280C" w:rsidP="00ED280C">
      <w:pPr>
        <w:rPr>
          <w:rFonts w:ascii="Arial" w:hAnsi="Arial" w:cs="Arial"/>
          <w:b/>
          <w:color w:val="2E308B"/>
          <w:sz w:val="20"/>
          <w:szCs w:val="20"/>
        </w:rPr>
      </w:pPr>
      <w:r>
        <w:rPr>
          <w:rFonts w:ascii="Arial" w:hAnsi="Arial" w:cs="Arial"/>
          <w:b/>
          <w:color w:val="2E308B"/>
          <w:sz w:val="20"/>
          <w:szCs w:val="20"/>
        </w:rPr>
        <w:t xml:space="preserve">After starting the year with a record low </w:t>
      </w:r>
      <w:r w:rsidRPr="008266D2">
        <w:rPr>
          <w:rFonts w:ascii="Arial" w:hAnsi="Arial" w:cs="Arial"/>
          <w:b/>
          <w:color w:val="2E308B"/>
          <w:sz w:val="20"/>
          <w:szCs w:val="20"/>
        </w:rPr>
        <w:t>number of</w:t>
      </w:r>
      <w:r>
        <w:rPr>
          <w:rFonts w:ascii="Arial" w:hAnsi="Arial" w:cs="Arial"/>
          <w:b/>
          <w:color w:val="2E308B"/>
          <w:sz w:val="20"/>
          <w:szCs w:val="20"/>
        </w:rPr>
        <w:t xml:space="preserve"> available homes to purchase, the inventory soared higher but is still far below pre-pandemic levels. </w:t>
      </w:r>
    </w:p>
    <w:p w14:paraId="74941BBD" w14:textId="77777777" w:rsidR="00ED280C" w:rsidRDefault="00ED280C" w:rsidP="00ED280C">
      <w:pPr>
        <w:rPr>
          <w:rFonts w:ascii="Arial" w:hAnsi="Arial" w:cs="Arial"/>
          <w:color w:val="1D1B11"/>
          <w:sz w:val="20"/>
          <w:szCs w:val="20"/>
        </w:rPr>
      </w:pPr>
    </w:p>
    <w:p w14:paraId="70F91AD1" w14:textId="77777777" w:rsidR="00ED280C" w:rsidRDefault="00ED280C" w:rsidP="00ED280C">
      <w:pPr>
        <w:spacing w:line="259" w:lineRule="auto"/>
        <w:rPr>
          <w:rFonts w:ascii="Arial" w:hAnsi="Arial" w:cs="Arial"/>
          <w:color w:val="1D1B11"/>
          <w:sz w:val="20"/>
          <w:szCs w:val="20"/>
        </w:rPr>
      </w:pPr>
      <w:r w:rsidRPr="00C97399">
        <w:rPr>
          <w:rFonts w:ascii="Arial" w:hAnsi="Arial" w:cs="Arial"/>
          <w:color w:val="1D1B11"/>
          <w:sz w:val="20"/>
          <w:szCs w:val="20"/>
        </w:rPr>
        <w:t xml:space="preserve">The year started </w:t>
      </w:r>
      <w:r w:rsidRPr="008266D2">
        <w:rPr>
          <w:rFonts w:ascii="Arial" w:hAnsi="Arial" w:cs="Arial"/>
          <w:color w:val="1D1B11"/>
          <w:sz w:val="20"/>
          <w:szCs w:val="20"/>
        </w:rPr>
        <w:t>off</w:t>
      </w:r>
      <w:r>
        <w:rPr>
          <w:rFonts w:ascii="Arial" w:hAnsi="Arial" w:cs="Arial"/>
          <w:color w:val="1D1B11"/>
          <w:sz w:val="20"/>
          <w:szCs w:val="20"/>
        </w:rPr>
        <w:t xml:space="preserve"> </w:t>
      </w:r>
      <w:r w:rsidRPr="00C97399">
        <w:rPr>
          <w:rFonts w:ascii="Arial" w:hAnsi="Arial" w:cs="Arial"/>
          <w:color w:val="1D1B11"/>
          <w:sz w:val="20"/>
          <w:szCs w:val="20"/>
        </w:rPr>
        <w:t xml:space="preserve">with an active inventory of </w:t>
      </w:r>
      <w:r>
        <w:rPr>
          <w:rFonts w:ascii="Arial" w:hAnsi="Arial" w:cs="Arial"/>
          <w:color w:val="1D1B11"/>
          <w:sz w:val="20"/>
          <w:szCs w:val="20"/>
        </w:rPr>
        <w:t xml:space="preserve">4,026 </w:t>
      </w:r>
      <w:r w:rsidRPr="00C97399">
        <w:rPr>
          <w:rFonts w:ascii="Arial" w:hAnsi="Arial" w:cs="Arial"/>
          <w:color w:val="1D1B11"/>
          <w:sz w:val="20"/>
          <w:szCs w:val="20"/>
        </w:rPr>
        <w:t xml:space="preserve">homes, </w:t>
      </w:r>
      <w:r>
        <w:rPr>
          <w:rFonts w:ascii="Arial" w:hAnsi="Arial" w:cs="Arial"/>
          <w:color w:val="1D1B11"/>
          <w:sz w:val="20"/>
          <w:szCs w:val="20"/>
        </w:rPr>
        <w:t>the lowest level to start a year since tracking began in 2012. The average start prior to the pandemic was 10,079 homes, so there was nearly nothing available in January. Yet, with a rapidly rising mortgage rate environment, demand slowed substantially as the year progressed. After starting 2022 at 3.25%, rates eventually surpassed 5% in May and eclipsed 6% in June. As a result, the inventory rapidly grew from mid-April until it peaked at the beginning in mid-August at 11,112 homes, a rise of 176% from January 1</w:t>
      </w:r>
      <w:r w:rsidRPr="004217AC">
        <w:rPr>
          <w:rFonts w:ascii="Arial" w:hAnsi="Arial" w:cs="Arial"/>
          <w:color w:val="1D1B11"/>
          <w:sz w:val="20"/>
          <w:szCs w:val="20"/>
          <w:vertAlign w:val="superscript"/>
        </w:rPr>
        <w:t>st</w:t>
      </w:r>
      <w:r>
        <w:rPr>
          <w:rFonts w:ascii="Arial" w:hAnsi="Arial" w:cs="Arial"/>
          <w:color w:val="1D1B11"/>
          <w:sz w:val="20"/>
          <w:szCs w:val="20"/>
        </w:rPr>
        <w:t xml:space="preserve">. The 3-year average peak prior to COVID (2017 to 2019) was 13,909 homes, 25% higher than this year. From August through year’s end, the number of available homes decreased to 8,612, slightly higher than end of December 2020 levels and 11% below the 3-year average end to December of 9,687. </w:t>
      </w:r>
    </w:p>
    <w:p w14:paraId="1F86B931" w14:textId="77777777" w:rsidR="00ED280C" w:rsidRDefault="00ED280C" w:rsidP="00ED280C">
      <w:pPr>
        <w:spacing w:line="259" w:lineRule="auto"/>
        <w:rPr>
          <w:rFonts w:ascii="Arial" w:hAnsi="Arial" w:cs="Arial"/>
          <w:color w:val="1D1B11"/>
          <w:sz w:val="20"/>
          <w:szCs w:val="20"/>
        </w:rPr>
      </w:pPr>
    </w:p>
    <w:p w14:paraId="0E7B4A9F" w14:textId="77777777" w:rsidR="00ED280C" w:rsidRDefault="00ED280C" w:rsidP="00ED280C">
      <w:pPr>
        <w:spacing w:line="259" w:lineRule="auto"/>
        <w:rPr>
          <w:rFonts w:ascii="Arial" w:hAnsi="Arial" w:cs="Arial"/>
          <w:color w:val="1D1B11"/>
          <w:sz w:val="20"/>
          <w:szCs w:val="20"/>
        </w:rPr>
      </w:pPr>
      <w:r>
        <w:rPr>
          <w:rFonts w:ascii="Arial" w:hAnsi="Arial" w:cs="Arial"/>
          <w:color w:val="1D1B11"/>
          <w:sz w:val="20"/>
          <w:szCs w:val="20"/>
        </w:rPr>
        <w:t xml:space="preserve">The inventory would have dropped even more during the Autumn market, but rates eclipsed 7% in October and took an even larger bite out of demand. Many sellers stagnated on the market without success. That changed during the holidays as rates dropped into the lower 6’s, and the inventory dropped by 2,178 homes in the last 6 weeks of the year, down 20%. The inventory is poised to drop to 8,000 upon ringing in a New Year, still not enough available homes to purchase. </w:t>
      </w:r>
    </w:p>
    <w:p w14:paraId="2AEA639F" w14:textId="77777777" w:rsidR="00ED280C" w:rsidRDefault="00ED280C" w:rsidP="00ED280C">
      <w:pPr>
        <w:spacing w:line="259" w:lineRule="auto"/>
        <w:rPr>
          <w:rFonts w:ascii="Arial" w:hAnsi="Arial" w:cs="Arial"/>
          <w:color w:val="1D1B11"/>
          <w:sz w:val="20"/>
          <w:szCs w:val="20"/>
        </w:rPr>
      </w:pPr>
    </w:p>
    <w:p w14:paraId="7CFC8487" w14:textId="77777777" w:rsidR="00ED280C" w:rsidRDefault="00ED280C" w:rsidP="00ED280C">
      <w:pPr>
        <w:spacing w:line="259" w:lineRule="auto"/>
        <w:rPr>
          <w:rFonts w:ascii="Arial" w:hAnsi="Arial" w:cs="Arial"/>
          <w:color w:val="1D1B11"/>
          <w:sz w:val="20"/>
          <w:szCs w:val="20"/>
        </w:rPr>
      </w:pPr>
      <w:r>
        <w:rPr>
          <w:rFonts w:ascii="Arial" w:hAnsi="Arial" w:cs="Arial"/>
          <w:color w:val="1D1B11"/>
          <w:sz w:val="20"/>
          <w:szCs w:val="20"/>
        </w:rPr>
        <w:t xml:space="preserve">COVID suppressed the inventory in Los Angeles County in 2020 and 2021. There were 7% fewer homes placed on the market in 2020, or 6,124 missing sellers, and 2% fewer in 2021, or 1,704 missing sellers. With COVID taking a back seat to life in 2022, this was to be the year where more homeowners were poised to enter the fray. That did not occur as many homeowners “hunkered down” and opted to not move. Homeowners may not have been in love with their homes, but they certainly were in love with their loans. An astonishing 89% of California homeowners who have a loan are enjoying a </w:t>
      </w:r>
    </w:p>
    <w:p w14:paraId="7E7530F7" w14:textId="77777777" w:rsidR="00ED280C" w:rsidRDefault="00ED280C" w:rsidP="00ED280C">
      <w:pPr>
        <w:rPr>
          <w:rFonts w:ascii="Arial" w:hAnsi="Arial" w:cs="Arial"/>
          <w:color w:val="1D1B11"/>
          <w:sz w:val="20"/>
          <w:szCs w:val="20"/>
        </w:rPr>
      </w:pPr>
      <w:r>
        <w:rPr>
          <w:rFonts w:ascii="Arial" w:hAnsi="Arial" w:cs="Arial"/>
          <w:noProof/>
          <w:color w:val="1D1B11"/>
          <w:sz w:val="20"/>
          <w:szCs w:val="20"/>
        </w:rPr>
        <w:drawing>
          <wp:anchor distT="0" distB="0" distL="114300" distR="114300" simplePos="0" relativeHeight="251660288" behindDoc="0" locked="0" layoutInCell="1" allowOverlap="1" wp14:anchorId="78AC0364" wp14:editId="7A0B0A76">
            <wp:simplePos x="0" y="0"/>
            <wp:positionH relativeFrom="column">
              <wp:posOffset>895350</wp:posOffset>
            </wp:positionH>
            <wp:positionV relativeFrom="paragraph">
              <wp:posOffset>125095</wp:posOffset>
            </wp:positionV>
            <wp:extent cx="5067300" cy="3783584"/>
            <wp:effectExtent l="190500" t="190500" r="171450" b="179070"/>
            <wp:wrapNone/>
            <wp:docPr id="56980" name="Picture 569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0" name="Picture 56980" descr="Chart, line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7300" cy="378358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0E472BB" w14:textId="77777777" w:rsidR="00ED280C" w:rsidRDefault="00ED280C" w:rsidP="00ED280C">
      <w:pPr>
        <w:rPr>
          <w:rFonts w:ascii="Arial" w:hAnsi="Arial" w:cs="Arial"/>
          <w:color w:val="1D1B11"/>
          <w:sz w:val="20"/>
          <w:szCs w:val="20"/>
        </w:rPr>
      </w:pPr>
    </w:p>
    <w:p w14:paraId="07126BA5" w14:textId="77777777" w:rsidR="00ED280C" w:rsidRDefault="00ED280C" w:rsidP="00ED280C">
      <w:pPr>
        <w:spacing w:after="160" w:line="259" w:lineRule="auto"/>
        <w:rPr>
          <w:rFonts w:ascii="Arial" w:hAnsi="Arial" w:cs="Arial"/>
          <w:color w:val="1D1B11"/>
          <w:sz w:val="20"/>
          <w:szCs w:val="20"/>
        </w:rPr>
      </w:pPr>
      <w:r>
        <w:rPr>
          <w:rFonts w:ascii="Arial" w:hAnsi="Arial" w:cs="Arial"/>
          <w:color w:val="1D1B11"/>
          <w:sz w:val="20"/>
          <w:szCs w:val="20"/>
        </w:rPr>
        <w:br w:type="page"/>
      </w:r>
    </w:p>
    <w:p w14:paraId="68B84838" w14:textId="77777777" w:rsidR="00ED280C" w:rsidRDefault="00ED280C" w:rsidP="00ED280C">
      <w:pPr>
        <w:rPr>
          <w:rFonts w:ascii="Arial" w:hAnsi="Arial" w:cs="Arial"/>
          <w:color w:val="1D1B11"/>
          <w:sz w:val="20"/>
          <w:szCs w:val="20"/>
        </w:rPr>
      </w:pPr>
      <w:r>
        <w:rPr>
          <w:rFonts w:ascii="Arial" w:hAnsi="Arial" w:cs="Arial"/>
          <w:color w:val="1D1B11"/>
          <w:sz w:val="20"/>
          <w:szCs w:val="20"/>
        </w:rPr>
        <w:lastRenderedPageBreak/>
        <w:t xml:space="preserve">fixed rate at or below 5%. 71% are at or below 4%. And a very fortunate 29% have a rate at or below 3%. From January through November, there were 16% fewer homes placed on the market compared to the 3-year average prior to COVID (2017 to 2019), 13,893 fewer. This trend has grown significantly as the year progressed. In November there were 26% fewer FOR-SALE signs. </w:t>
      </w:r>
    </w:p>
    <w:p w14:paraId="00B77DCA" w14:textId="77777777" w:rsidR="00ED280C" w:rsidRDefault="00ED280C" w:rsidP="00ED280C">
      <w:pPr>
        <w:rPr>
          <w:rFonts w:ascii="Arial" w:hAnsi="Arial" w:cs="Arial"/>
          <w:color w:val="1D1B11"/>
          <w:sz w:val="20"/>
          <w:szCs w:val="20"/>
        </w:rPr>
      </w:pPr>
    </w:p>
    <w:p w14:paraId="1A616203" w14:textId="77777777" w:rsidR="00ED280C" w:rsidRDefault="00ED280C" w:rsidP="00ED280C">
      <w:pPr>
        <w:rPr>
          <w:rFonts w:ascii="Arial" w:hAnsi="Arial" w:cs="Arial"/>
          <w:color w:val="1D1B11"/>
          <w:sz w:val="20"/>
          <w:szCs w:val="20"/>
        </w:rPr>
      </w:pPr>
      <w:r>
        <w:rPr>
          <w:rFonts w:ascii="Arial" w:hAnsi="Arial" w:cs="Arial"/>
          <w:color w:val="1D1B11"/>
          <w:sz w:val="20"/>
          <w:szCs w:val="20"/>
        </w:rPr>
        <w:t>The inventory crisis continues, not because of excess demand, but due to homeowners opting to “Hunker Down.”</w:t>
      </w:r>
    </w:p>
    <w:p w14:paraId="24F9C657" w14:textId="77777777" w:rsidR="00ED280C" w:rsidRDefault="00ED280C" w:rsidP="00ED280C">
      <w:pPr>
        <w:rPr>
          <w:rFonts w:ascii="Arial" w:hAnsi="Arial" w:cs="Arial"/>
          <w:color w:val="1D1B11"/>
          <w:sz w:val="20"/>
          <w:szCs w:val="20"/>
        </w:rPr>
      </w:pPr>
    </w:p>
    <w:p w14:paraId="1D3AADE5" w14:textId="77777777" w:rsidR="00ED280C" w:rsidRPr="000D1BC9" w:rsidRDefault="00ED280C" w:rsidP="00ED280C">
      <w:pPr>
        <w:rPr>
          <w:rFonts w:ascii="Arial" w:hAnsi="Arial" w:cs="Arial"/>
          <w:b/>
          <w:color w:val="2E308B"/>
          <w:sz w:val="40"/>
          <w:szCs w:val="40"/>
        </w:rPr>
      </w:pPr>
      <w:r>
        <w:rPr>
          <w:rFonts w:ascii="Arial" w:hAnsi="Arial" w:cs="Arial"/>
          <w:b/>
          <w:color w:val="2E308B"/>
          <w:sz w:val="40"/>
          <w:szCs w:val="40"/>
        </w:rPr>
        <w:t>Demand</w:t>
      </w:r>
    </w:p>
    <w:p w14:paraId="6F2DE173" w14:textId="77777777" w:rsidR="00ED280C" w:rsidRPr="000D1BC9" w:rsidRDefault="00ED280C" w:rsidP="00ED280C">
      <w:pPr>
        <w:rPr>
          <w:rFonts w:ascii="Arial" w:hAnsi="Arial" w:cs="Arial"/>
          <w:b/>
          <w:color w:val="2E308B"/>
          <w:sz w:val="20"/>
          <w:szCs w:val="20"/>
        </w:rPr>
      </w:pPr>
      <w:r>
        <w:rPr>
          <w:rFonts w:ascii="Arial" w:hAnsi="Arial" w:cs="Arial"/>
          <w:b/>
          <w:color w:val="2E308B"/>
          <w:sz w:val="20"/>
          <w:szCs w:val="20"/>
        </w:rPr>
        <w:t xml:space="preserve">After two years of heightened demand due to historically low mortgage rates, demand did an about face and fell to its lowest levels since the Great Recession. </w:t>
      </w:r>
    </w:p>
    <w:p w14:paraId="4E2EE443" w14:textId="77777777" w:rsidR="00ED280C" w:rsidRDefault="00ED280C" w:rsidP="00ED280C">
      <w:pPr>
        <w:rPr>
          <w:rFonts w:ascii="Arial" w:hAnsi="Arial" w:cs="Arial"/>
          <w:color w:val="1D1B11"/>
          <w:sz w:val="20"/>
          <w:szCs w:val="20"/>
        </w:rPr>
      </w:pPr>
    </w:p>
    <w:p w14:paraId="77F7BAB9" w14:textId="77777777" w:rsidR="00ED280C" w:rsidRDefault="00ED280C" w:rsidP="00ED280C">
      <w:pPr>
        <w:rPr>
          <w:rFonts w:ascii="Arial" w:hAnsi="Arial" w:cs="Arial"/>
          <w:color w:val="1D1B11"/>
          <w:sz w:val="20"/>
          <w:szCs w:val="20"/>
        </w:rPr>
      </w:pPr>
      <w:r>
        <w:rPr>
          <w:rFonts w:ascii="Arial" w:hAnsi="Arial" w:cs="Arial"/>
          <w:color w:val="1D1B11"/>
          <w:sz w:val="20"/>
          <w:szCs w:val="20"/>
        </w:rPr>
        <w:t>Demand for Los Angeles County homes (the number of pending sales over the prior month) followed a normal strong housing pattern. The Spring Market was the hottest, followed by the Summer Market, then the Autumn Market, and, finally, the Holiday Market. Demand followed this seasonal pattern which mirrors when homes are placed on the market. The most come on during the spring and the least come on during the holidays.</w:t>
      </w:r>
    </w:p>
    <w:p w14:paraId="75C349FC" w14:textId="77777777" w:rsidR="00ED280C" w:rsidRDefault="00ED280C" w:rsidP="00ED280C">
      <w:pPr>
        <w:rPr>
          <w:rFonts w:ascii="Arial" w:hAnsi="Arial" w:cs="Arial"/>
          <w:color w:val="1D1B11"/>
          <w:sz w:val="20"/>
          <w:szCs w:val="20"/>
        </w:rPr>
      </w:pPr>
    </w:p>
    <w:p w14:paraId="5FFA2F46" w14:textId="77777777" w:rsidR="00ED280C" w:rsidRDefault="00ED280C" w:rsidP="00ED280C">
      <w:pPr>
        <w:rPr>
          <w:rFonts w:ascii="Arial" w:hAnsi="Arial" w:cs="Arial"/>
          <w:color w:val="1D1B11"/>
          <w:sz w:val="20"/>
          <w:szCs w:val="20"/>
        </w:rPr>
      </w:pPr>
      <w:r>
        <w:rPr>
          <w:rFonts w:ascii="Arial" w:hAnsi="Arial" w:cs="Arial"/>
          <w:color w:val="1D1B11"/>
          <w:sz w:val="20"/>
          <w:szCs w:val="20"/>
        </w:rPr>
        <w:t xml:space="preserve">At the beginning of the year, demand for Los Angeles County homes (the number of pending sales over the prior month) was muted compared to 2021, down 12%. It was still 20% stronger than the start of 2020, prior to COVID impacting housing. At first, demand was muted due to the lack of available homes to purchase. There were simply not enough homes on the market compared to the sea of buyers looking to purchase. But that dramatically shifted as the year progressed and mortgage rates spiked, considerably impacting home affordability. Even with additional purchase options, more and more homeowners accumulating and stagnating on the market without success, demand did not climb much. </w:t>
      </w:r>
    </w:p>
    <w:p w14:paraId="1BF46B78" w14:textId="77777777" w:rsidR="00ED280C" w:rsidRDefault="00ED280C" w:rsidP="00ED280C">
      <w:pPr>
        <w:rPr>
          <w:rFonts w:ascii="Arial" w:hAnsi="Arial" w:cs="Arial"/>
          <w:color w:val="1D1B11"/>
          <w:sz w:val="20"/>
          <w:szCs w:val="20"/>
        </w:rPr>
      </w:pPr>
    </w:p>
    <w:p w14:paraId="0ACBA8AC" w14:textId="77777777" w:rsidR="00ED280C" w:rsidRDefault="00ED280C" w:rsidP="00ED280C">
      <w:pPr>
        <w:rPr>
          <w:rFonts w:ascii="Arial" w:hAnsi="Arial" w:cs="Arial"/>
          <w:color w:val="1D1B11"/>
          <w:sz w:val="20"/>
          <w:szCs w:val="20"/>
        </w:rPr>
      </w:pPr>
      <w:r>
        <w:rPr>
          <w:rFonts w:ascii="Arial" w:hAnsi="Arial" w:cs="Arial"/>
          <w:color w:val="1D1B11"/>
          <w:sz w:val="20"/>
          <w:szCs w:val="20"/>
        </w:rPr>
        <w:t xml:space="preserve">After starting the year at 4,026 pending sales, demand peaked at the very end of March at 5,524, its lowest peak since 2014. It was 18% lower than last year’s 6,773 </w:t>
      </w:r>
      <w:proofErr w:type="gramStart"/>
      <w:r>
        <w:rPr>
          <w:rFonts w:ascii="Arial" w:hAnsi="Arial" w:cs="Arial"/>
          <w:color w:val="1D1B11"/>
          <w:sz w:val="20"/>
          <w:szCs w:val="20"/>
        </w:rPr>
        <w:t>peak</w:t>
      </w:r>
      <w:proofErr w:type="gramEnd"/>
      <w:r>
        <w:rPr>
          <w:rFonts w:ascii="Arial" w:hAnsi="Arial" w:cs="Arial"/>
          <w:color w:val="1D1B11"/>
          <w:sz w:val="20"/>
          <w:szCs w:val="20"/>
        </w:rPr>
        <w:t xml:space="preserve">, and 9% below the 3-year average peak prior to COVID (2017 to 2019) of 6,042. Demand improved in August when rates dropped below 6% for a few weeks. As rates rapidly increased in September and October, demand plunged to lows not seen since the initial lockdowns of the Pandemic and the Great Recession. </w:t>
      </w:r>
    </w:p>
    <w:p w14:paraId="42128C4D" w14:textId="77777777" w:rsidR="00ED280C" w:rsidRDefault="00ED280C" w:rsidP="00ED280C">
      <w:pPr>
        <w:rPr>
          <w:rFonts w:ascii="Arial" w:hAnsi="Arial" w:cs="Arial"/>
          <w:color w:val="1D1B11"/>
          <w:sz w:val="20"/>
          <w:szCs w:val="20"/>
        </w:rPr>
      </w:pPr>
    </w:p>
    <w:p w14:paraId="5C9D3A31" w14:textId="77777777" w:rsidR="00ED280C" w:rsidRDefault="00ED280C" w:rsidP="00ED280C">
      <w:pPr>
        <w:rPr>
          <w:rFonts w:ascii="Arial" w:hAnsi="Arial" w:cs="Arial"/>
          <w:color w:val="1D1B11"/>
          <w:sz w:val="20"/>
          <w:szCs w:val="20"/>
        </w:rPr>
      </w:pPr>
      <w:r>
        <w:rPr>
          <w:rFonts w:ascii="Arial" w:hAnsi="Arial" w:cs="Arial"/>
          <w:color w:val="1D1B11"/>
          <w:sz w:val="20"/>
          <w:szCs w:val="20"/>
        </w:rPr>
        <w:t xml:space="preserve">Demand has been deeply impacted by skyrocketing mortgage rates. To put it in perspective, a $900,000 mortgage at 3.25% to start the year had a monthly payment of $3,917. It climbed to $5,541 per month when rates hit 6.25%, a jaw-dropping $1,624 more per month compared to January. It then climbed to $6,201 per month when rates jumped to 7.35% in October, an additional $2,284 per month, or $27,408 per year. Even with rates marching back down towards 6% in December, demand remained muted. </w:t>
      </w:r>
    </w:p>
    <w:p w14:paraId="16CE49F0" w14:textId="77777777" w:rsidR="00ED280C" w:rsidRDefault="00ED280C" w:rsidP="00ED280C">
      <w:pPr>
        <w:rPr>
          <w:rFonts w:ascii="Arial" w:hAnsi="Arial" w:cs="Arial"/>
          <w:color w:val="1D1B11"/>
          <w:sz w:val="20"/>
          <w:szCs w:val="20"/>
        </w:rPr>
      </w:pPr>
    </w:p>
    <w:p w14:paraId="02F73164" w14:textId="77777777" w:rsidR="00ED280C" w:rsidRDefault="00ED280C" w:rsidP="00ED280C">
      <w:pPr>
        <w:rPr>
          <w:rFonts w:ascii="Arial" w:hAnsi="Arial" w:cs="Arial"/>
          <w:color w:val="1D1B11"/>
          <w:sz w:val="20"/>
          <w:szCs w:val="20"/>
        </w:rPr>
      </w:pPr>
      <w:r>
        <w:rPr>
          <w:rFonts w:ascii="Arial" w:hAnsi="Arial" w:cs="Arial"/>
          <w:color w:val="1D1B11"/>
          <w:sz w:val="20"/>
          <w:szCs w:val="20"/>
        </w:rPr>
        <w:t xml:space="preserve">Within the past two weeks, demand dropped by 169 pending sales, or 6%, and now sits at 2,661 pending sales, the lowest reading since April 2020, and the lowest level for an end to December since tracking began in 2012. Last year </w:t>
      </w:r>
      <w:proofErr w:type="gramStart"/>
      <w:r>
        <w:rPr>
          <w:rFonts w:ascii="Arial" w:hAnsi="Arial" w:cs="Arial"/>
          <w:color w:val="1D1B11"/>
          <w:sz w:val="20"/>
          <w:szCs w:val="20"/>
        </w:rPr>
        <w:t>at this time</w:t>
      </w:r>
      <w:proofErr w:type="gramEnd"/>
      <w:r>
        <w:rPr>
          <w:rFonts w:ascii="Arial" w:hAnsi="Arial" w:cs="Arial"/>
          <w:color w:val="1D1B11"/>
          <w:sz w:val="20"/>
          <w:szCs w:val="20"/>
        </w:rPr>
        <w:t xml:space="preserve">, demand was at 4,551 pending sales, or 71% higher. The 3-year average end to December prior to COVID was 3,542 pending sales, or 33% higher.  </w:t>
      </w:r>
    </w:p>
    <w:p w14:paraId="602E7B74" w14:textId="77777777" w:rsidR="00ED280C" w:rsidRDefault="00ED280C" w:rsidP="00ED280C">
      <w:pPr>
        <w:rPr>
          <w:rFonts w:ascii="Arial" w:hAnsi="Arial" w:cs="Arial"/>
          <w:color w:val="1D1B11"/>
          <w:sz w:val="20"/>
          <w:szCs w:val="20"/>
        </w:rPr>
      </w:pPr>
      <w:r>
        <w:rPr>
          <w:rFonts w:ascii="Arial" w:hAnsi="Arial" w:cs="Arial"/>
          <w:noProof/>
          <w:color w:val="1D1B11"/>
          <w:sz w:val="20"/>
          <w:szCs w:val="20"/>
        </w:rPr>
        <w:drawing>
          <wp:anchor distT="0" distB="0" distL="114300" distR="114300" simplePos="0" relativeHeight="251661312" behindDoc="0" locked="0" layoutInCell="1" allowOverlap="1" wp14:anchorId="149D49E1" wp14:editId="7127FDB3">
            <wp:simplePos x="0" y="0"/>
            <wp:positionH relativeFrom="column">
              <wp:posOffset>942975</wp:posOffset>
            </wp:positionH>
            <wp:positionV relativeFrom="paragraph">
              <wp:posOffset>127635</wp:posOffset>
            </wp:positionV>
            <wp:extent cx="4988560" cy="3676755"/>
            <wp:effectExtent l="190500" t="190500" r="173990" b="171450"/>
            <wp:wrapNone/>
            <wp:docPr id="56981" name="Picture 5698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1" name="Picture 56981" descr="Chart, line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8560" cy="36767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242FED6" w14:textId="77777777" w:rsidR="00ED280C" w:rsidRDefault="00ED280C" w:rsidP="00ED280C">
      <w:pPr>
        <w:rPr>
          <w:rFonts w:ascii="Arial" w:hAnsi="Arial" w:cs="Arial"/>
          <w:color w:val="1D1B11"/>
          <w:sz w:val="20"/>
          <w:szCs w:val="20"/>
        </w:rPr>
      </w:pPr>
    </w:p>
    <w:p w14:paraId="0F374597" w14:textId="77777777" w:rsidR="00ED280C" w:rsidRDefault="00ED280C" w:rsidP="00ED280C">
      <w:pPr>
        <w:rPr>
          <w:rFonts w:ascii="Arial" w:hAnsi="Arial" w:cs="Arial"/>
          <w:color w:val="1D1B11"/>
          <w:sz w:val="20"/>
          <w:szCs w:val="20"/>
        </w:rPr>
      </w:pPr>
    </w:p>
    <w:p w14:paraId="5675706B" w14:textId="77777777" w:rsidR="00ED280C" w:rsidRDefault="00ED280C" w:rsidP="00ED280C">
      <w:pPr>
        <w:spacing w:after="160" w:line="259" w:lineRule="auto"/>
        <w:rPr>
          <w:rFonts w:ascii="Arial" w:hAnsi="Arial" w:cs="Arial"/>
          <w:color w:val="1D1B11"/>
          <w:sz w:val="20"/>
          <w:szCs w:val="20"/>
        </w:rPr>
      </w:pPr>
    </w:p>
    <w:p w14:paraId="7266AC68" w14:textId="77777777" w:rsidR="00ED280C" w:rsidRDefault="00ED280C" w:rsidP="00ED280C">
      <w:pPr>
        <w:spacing w:after="160" w:line="259" w:lineRule="auto"/>
        <w:rPr>
          <w:rFonts w:ascii="Arial" w:hAnsi="Arial" w:cs="Arial"/>
          <w:color w:val="1D1B11"/>
          <w:sz w:val="20"/>
          <w:szCs w:val="20"/>
        </w:rPr>
      </w:pPr>
    </w:p>
    <w:p w14:paraId="67F1156E" w14:textId="77777777" w:rsidR="00ED280C" w:rsidRDefault="00ED280C" w:rsidP="00ED280C">
      <w:pPr>
        <w:spacing w:after="160" w:line="259" w:lineRule="auto"/>
        <w:rPr>
          <w:rFonts w:ascii="Arial" w:hAnsi="Arial" w:cs="Arial"/>
          <w:color w:val="1D1B11"/>
          <w:sz w:val="20"/>
          <w:szCs w:val="20"/>
        </w:rPr>
      </w:pPr>
    </w:p>
    <w:p w14:paraId="26CFFC59" w14:textId="77777777" w:rsidR="00ED280C" w:rsidRDefault="00ED280C" w:rsidP="00ED280C">
      <w:pPr>
        <w:spacing w:after="160" w:line="259" w:lineRule="auto"/>
        <w:rPr>
          <w:rFonts w:ascii="Arial" w:hAnsi="Arial" w:cs="Arial"/>
          <w:color w:val="1D1B11"/>
          <w:sz w:val="20"/>
          <w:szCs w:val="20"/>
        </w:rPr>
      </w:pPr>
    </w:p>
    <w:p w14:paraId="14109E94" w14:textId="77777777" w:rsidR="00ED280C" w:rsidRDefault="00ED280C" w:rsidP="00ED280C">
      <w:pPr>
        <w:spacing w:after="160" w:line="259" w:lineRule="auto"/>
        <w:rPr>
          <w:rFonts w:ascii="Arial" w:hAnsi="Arial" w:cs="Arial"/>
          <w:color w:val="1D1B11"/>
          <w:sz w:val="20"/>
          <w:szCs w:val="20"/>
        </w:rPr>
      </w:pPr>
    </w:p>
    <w:p w14:paraId="5CA048BD" w14:textId="77777777" w:rsidR="00ED280C" w:rsidRDefault="00ED280C" w:rsidP="00ED280C">
      <w:pPr>
        <w:spacing w:after="160" w:line="259" w:lineRule="auto"/>
        <w:rPr>
          <w:rFonts w:ascii="Arial" w:hAnsi="Arial" w:cs="Arial"/>
          <w:color w:val="1D1B11"/>
          <w:sz w:val="20"/>
          <w:szCs w:val="20"/>
        </w:rPr>
      </w:pPr>
    </w:p>
    <w:p w14:paraId="0C13649D" w14:textId="77777777" w:rsidR="00ED280C" w:rsidRDefault="00ED280C" w:rsidP="00ED280C">
      <w:pPr>
        <w:spacing w:after="160" w:line="259" w:lineRule="auto"/>
        <w:rPr>
          <w:rFonts w:ascii="Arial" w:hAnsi="Arial" w:cs="Arial"/>
          <w:color w:val="1D1B11"/>
          <w:sz w:val="20"/>
          <w:szCs w:val="20"/>
        </w:rPr>
      </w:pPr>
    </w:p>
    <w:p w14:paraId="5F07885D" w14:textId="77777777" w:rsidR="00ED280C" w:rsidRDefault="00ED280C" w:rsidP="00ED280C">
      <w:pPr>
        <w:spacing w:after="160" w:line="259" w:lineRule="auto"/>
        <w:rPr>
          <w:rFonts w:ascii="Arial" w:hAnsi="Arial" w:cs="Arial"/>
          <w:color w:val="1D1B11"/>
          <w:sz w:val="20"/>
          <w:szCs w:val="20"/>
        </w:rPr>
      </w:pPr>
    </w:p>
    <w:p w14:paraId="3F0753DE" w14:textId="77777777" w:rsidR="00ED280C" w:rsidRDefault="00ED280C" w:rsidP="00ED280C">
      <w:pPr>
        <w:spacing w:after="160" w:line="259" w:lineRule="auto"/>
        <w:rPr>
          <w:rFonts w:ascii="Arial" w:hAnsi="Arial" w:cs="Arial"/>
          <w:color w:val="1D1B11"/>
          <w:sz w:val="20"/>
          <w:szCs w:val="20"/>
        </w:rPr>
      </w:pPr>
    </w:p>
    <w:p w14:paraId="17293DB3" w14:textId="77777777" w:rsidR="00ED280C" w:rsidRDefault="00ED280C" w:rsidP="00ED280C">
      <w:pPr>
        <w:spacing w:after="160" w:line="259" w:lineRule="auto"/>
        <w:rPr>
          <w:rFonts w:ascii="Arial" w:hAnsi="Arial" w:cs="Arial"/>
          <w:color w:val="1D1B11"/>
          <w:sz w:val="20"/>
          <w:szCs w:val="20"/>
        </w:rPr>
      </w:pPr>
    </w:p>
    <w:p w14:paraId="2430AB89" w14:textId="77777777" w:rsidR="00ED280C" w:rsidRDefault="00ED280C" w:rsidP="00ED280C">
      <w:pPr>
        <w:spacing w:after="160" w:line="259" w:lineRule="auto"/>
        <w:rPr>
          <w:rFonts w:ascii="Arial" w:hAnsi="Arial" w:cs="Arial"/>
          <w:color w:val="1D1B11"/>
          <w:sz w:val="20"/>
          <w:szCs w:val="20"/>
        </w:rPr>
      </w:pPr>
    </w:p>
    <w:p w14:paraId="7A316063" w14:textId="77777777" w:rsidR="00ED280C" w:rsidRDefault="00ED280C" w:rsidP="00ED280C">
      <w:pPr>
        <w:spacing w:after="160" w:line="259" w:lineRule="auto"/>
        <w:rPr>
          <w:rFonts w:ascii="Arial" w:hAnsi="Arial" w:cs="Arial"/>
          <w:color w:val="1D1B11"/>
          <w:sz w:val="20"/>
          <w:szCs w:val="20"/>
        </w:rPr>
      </w:pPr>
    </w:p>
    <w:p w14:paraId="18C3D660" w14:textId="77777777" w:rsidR="00ED280C" w:rsidRPr="000D1BC9" w:rsidRDefault="00ED280C" w:rsidP="00ED280C">
      <w:pPr>
        <w:rPr>
          <w:rFonts w:ascii="Arial" w:hAnsi="Arial" w:cs="Arial"/>
          <w:b/>
          <w:color w:val="2E308B"/>
          <w:sz w:val="40"/>
          <w:szCs w:val="40"/>
        </w:rPr>
      </w:pPr>
      <w:r>
        <w:rPr>
          <w:rFonts w:ascii="Arial" w:hAnsi="Arial" w:cs="Arial"/>
          <w:b/>
          <w:color w:val="2E308B"/>
          <w:sz w:val="40"/>
          <w:szCs w:val="40"/>
        </w:rPr>
        <w:lastRenderedPageBreak/>
        <w:t>Luxury End</w:t>
      </w:r>
    </w:p>
    <w:p w14:paraId="2C03E776" w14:textId="77777777" w:rsidR="00ED280C" w:rsidRPr="000D1BC9" w:rsidRDefault="00ED280C" w:rsidP="00ED280C">
      <w:pPr>
        <w:rPr>
          <w:rFonts w:ascii="Arial" w:hAnsi="Arial" w:cs="Arial"/>
          <w:b/>
          <w:color w:val="2E308B"/>
          <w:sz w:val="20"/>
          <w:szCs w:val="20"/>
        </w:rPr>
      </w:pPr>
      <w:r>
        <w:rPr>
          <w:rFonts w:ascii="Arial" w:hAnsi="Arial" w:cs="Arial"/>
          <w:b/>
          <w:color w:val="2E308B"/>
          <w:sz w:val="20"/>
          <w:szCs w:val="20"/>
        </w:rPr>
        <w:t>The l</w:t>
      </w:r>
      <w:r w:rsidRPr="00C97399">
        <w:rPr>
          <w:rFonts w:ascii="Arial" w:hAnsi="Arial" w:cs="Arial"/>
          <w:b/>
          <w:color w:val="2E308B"/>
          <w:sz w:val="20"/>
          <w:szCs w:val="20"/>
        </w:rPr>
        <w:t>uxury home</w:t>
      </w:r>
      <w:r>
        <w:rPr>
          <w:rFonts w:ascii="Arial" w:hAnsi="Arial" w:cs="Arial"/>
          <w:b/>
          <w:color w:val="2E308B"/>
          <w:sz w:val="20"/>
          <w:szCs w:val="20"/>
        </w:rPr>
        <w:t xml:space="preserve"> market was at a record pace but fell short by 14% through November as luxury slowed substantially to wrap up the year.</w:t>
      </w:r>
    </w:p>
    <w:p w14:paraId="2CD35164" w14:textId="77777777" w:rsidR="00ED280C" w:rsidRDefault="00ED280C" w:rsidP="00ED280C">
      <w:pPr>
        <w:rPr>
          <w:rFonts w:ascii="Arial" w:hAnsi="Arial" w:cs="Arial"/>
          <w:color w:val="1D1B11"/>
          <w:sz w:val="20"/>
          <w:szCs w:val="20"/>
        </w:rPr>
      </w:pPr>
    </w:p>
    <w:p w14:paraId="41E633A8" w14:textId="77777777" w:rsidR="00ED280C" w:rsidRDefault="00ED280C" w:rsidP="00ED280C">
      <w:pPr>
        <w:rPr>
          <w:rFonts w:ascii="Arial" w:hAnsi="Arial" w:cs="Arial"/>
          <w:color w:val="1D1B11"/>
          <w:sz w:val="20"/>
          <w:szCs w:val="20"/>
        </w:rPr>
      </w:pPr>
      <w:r>
        <w:rPr>
          <w:rFonts w:ascii="Arial" w:hAnsi="Arial" w:cs="Arial"/>
          <w:color w:val="1D1B11"/>
          <w:sz w:val="20"/>
          <w:szCs w:val="20"/>
        </w:rPr>
        <w:t xml:space="preserve">2021 was a record-setting year for luxury sales above $2 million in Los Angeles County, eclipsing the prior year by 73%. It looked like it was going to be another record setting year in 2022, up 15% through April, but that changed as financial markets became much more volatile as the year progressed. Through November, luxury sales were down 14% compared to 2021’s record pace. It was still up 53% compared to 2020, the second-best year for $2 million plus sales; </w:t>
      </w:r>
      <w:proofErr w:type="gramStart"/>
      <w:r>
        <w:rPr>
          <w:rFonts w:ascii="Arial" w:hAnsi="Arial" w:cs="Arial"/>
          <w:color w:val="1D1B11"/>
          <w:sz w:val="20"/>
          <w:szCs w:val="20"/>
        </w:rPr>
        <w:t>yet,</w:t>
      </w:r>
      <w:proofErr w:type="gramEnd"/>
      <w:r>
        <w:rPr>
          <w:rFonts w:ascii="Arial" w:hAnsi="Arial" w:cs="Arial"/>
          <w:color w:val="1D1B11"/>
          <w:sz w:val="20"/>
          <w:szCs w:val="20"/>
        </w:rPr>
        <w:t xml:space="preserve"> luxury sales fell short compared to 2020 starting in July. </w:t>
      </w:r>
    </w:p>
    <w:p w14:paraId="37589510" w14:textId="77777777" w:rsidR="00ED280C" w:rsidRDefault="00ED280C" w:rsidP="00ED280C">
      <w:pPr>
        <w:rPr>
          <w:rFonts w:ascii="Arial" w:hAnsi="Arial" w:cs="Arial"/>
          <w:color w:val="1D1B11"/>
          <w:sz w:val="20"/>
          <w:szCs w:val="20"/>
        </w:rPr>
      </w:pPr>
    </w:p>
    <w:p w14:paraId="5C5B6944" w14:textId="77777777" w:rsidR="00ED280C" w:rsidRDefault="00ED280C" w:rsidP="00ED280C">
      <w:pPr>
        <w:rPr>
          <w:rFonts w:ascii="Arial" w:hAnsi="Arial" w:cs="Arial"/>
          <w:color w:val="1D1B11"/>
          <w:sz w:val="20"/>
          <w:szCs w:val="20"/>
        </w:rPr>
      </w:pPr>
      <w:r>
        <w:rPr>
          <w:rFonts w:ascii="Arial" w:hAnsi="Arial" w:cs="Arial"/>
          <w:color w:val="1D1B11"/>
          <w:sz w:val="20"/>
          <w:szCs w:val="20"/>
        </w:rPr>
        <w:t>The luxury home market started off extremely strong. In the first quarter of 2022, there were 19% more luxury sales year over year. The second quarter of 2022 was down 5%. It was down by 32% during the third quarter, and down substantially during the fourth quarter, off 41%.</w:t>
      </w:r>
    </w:p>
    <w:p w14:paraId="39E24978" w14:textId="77777777" w:rsidR="00ED280C" w:rsidRDefault="00ED280C" w:rsidP="00ED280C">
      <w:pPr>
        <w:rPr>
          <w:rFonts w:ascii="Arial" w:hAnsi="Arial" w:cs="Arial"/>
          <w:color w:val="1D1B11"/>
          <w:sz w:val="20"/>
          <w:szCs w:val="20"/>
        </w:rPr>
      </w:pPr>
    </w:p>
    <w:p w14:paraId="39294C6C" w14:textId="77777777" w:rsidR="00ED280C" w:rsidRDefault="00ED280C" w:rsidP="00ED280C">
      <w:pPr>
        <w:spacing w:line="259" w:lineRule="auto"/>
        <w:rPr>
          <w:rFonts w:ascii="Arial" w:hAnsi="Arial" w:cs="Arial"/>
          <w:color w:val="1D1B11"/>
          <w:sz w:val="20"/>
          <w:szCs w:val="20"/>
        </w:rPr>
      </w:pPr>
      <w:r>
        <w:rPr>
          <w:rFonts w:ascii="Arial" w:hAnsi="Arial" w:cs="Arial"/>
          <w:color w:val="1D1B11"/>
          <w:sz w:val="20"/>
          <w:szCs w:val="20"/>
        </w:rPr>
        <w:t xml:space="preserve">During the pandemic, the luxury market evolved to an incomprehensible fast pace. Luxury homes that typically took months upon months to sell were selling almost instantly. In April, the Expected Market Time (the time between coming on the market and opening escrow) dropped to 75 days for homes priced above $2 million. As the volatility of the financial markets took hold, the luxury inventory rapidly increased as demand dropped. It surpassed the 100-day Expected Market Time level in June and breached 200 days in November. </w:t>
      </w:r>
    </w:p>
    <w:p w14:paraId="00659E2F" w14:textId="77777777" w:rsidR="00ED280C" w:rsidRDefault="00ED280C" w:rsidP="00ED280C">
      <w:pPr>
        <w:spacing w:line="259" w:lineRule="auto"/>
        <w:rPr>
          <w:rFonts w:ascii="Arial" w:hAnsi="Arial" w:cs="Arial"/>
          <w:color w:val="1D1B11"/>
          <w:sz w:val="20"/>
          <w:szCs w:val="20"/>
        </w:rPr>
      </w:pPr>
    </w:p>
    <w:p w14:paraId="55722779" w14:textId="77777777" w:rsidR="00ED280C" w:rsidRDefault="00ED280C" w:rsidP="00ED280C">
      <w:pPr>
        <w:spacing w:line="259" w:lineRule="auto"/>
        <w:rPr>
          <w:rFonts w:ascii="Arial" w:hAnsi="Arial" w:cs="Arial"/>
          <w:color w:val="1D1B11"/>
          <w:sz w:val="20"/>
          <w:szCs w:val="20"/>
        </w:rPr>
      </w:pPr>
      <w:r>
        <w:rPr>
          <w:rFonts w:ascii="Arial" w:hAnsi="Arial" w:cs="Arial"/>
          <w:color w:val="1D1B11"/>
          <w:sz w:val="20"/>
          <w:szCs w:val="20"/>
        </w:rPr>
        <w:t xml:space="preserve">As of the end of December, luxury demand is at 220 pending sales, 44% lower than last year. The inventory is at 1,787 after plunging by 11% during the last two weeks, 38% higher than last year. The Expected Market Time for luxury finished the year at 244 days. </w:t>
      </w:r>
    </w:p>
    <w:p w14:paraId="176121DB" w14:textId="77777777" w:rsidR="00ED280C" w:rsidRDefault="00ED280C" w:rsidP="00ED280C">
      <w:pPr>
        <w:spacing w:line="259" w:lineRule="auto"/>
        <w:rPr>
          <w:rFonts w:ascii="Arial" w:hAnsi="Arial" w:cs="Arial"/>
          <w:color w:val="1D1B11"/>
          <w:sz w:val="20"/>
          <w:szCs w:val="20"/>
        </w:rPr>
      </w:pPr>
    </w:p>
    <w:p w14:paraId="045C88B5" w14:textId="77777777" w:rsidR="00ED280C" w:rsidRPr="000D1BC9" w:rsidRDefault="00ED280C" w:rsidP="00ED280C">
      <w:pPr>
        <w:rPr>
          <w:rFonts w:ascii="Arial" w:hAnsi="Arial" w:cs="Arial"/>
          <w:b/>
          <w:color w:val="2E308B"/>
          <w:sz w:val="40"/>
          <w:szCs w:val="40"/>
        </w:rPr>
      </w:pPr>
      <w:r>
        <w:rPr>
          <w:rFonts w:ascii="Arial" w:hAnsi="Arial" w:cs="Arial"/>
          <w:b/>
          <w:color w:val="2E308B"/>
          <w:sz w:val="40"/>
          <w:szCs w:val="40"/>
        </w:rPr>
        <w:t>Expected Market Time</w:t>
      </w:r>
    </w:p>
    <w:p w14:paraId="6CF5396E" w14:textId="77777777" w:rsidR="00ED280C" w:rsidRPr="000D1BC9" w:rsidRDefault="00ED280C" w:rsidP="00ED280C">
      <w:pPr>
        <w:rPr>
          <w:rFonts w:ascii="Arial" w:hAnsi="Arial" w:cs="Arial"/>
          <w:b/>
          <w:color w:val="2E308B"/>
          <w:sz w:val="20"/>
          <w:szCs w:val="20"/>
        </w:rPr>
      </w:pPr>
      <w:r>
        <w:rPr>
          <w:rFonts w:ascii="Arial" w:hAnsi="Arial" w:cs="Arial"/>
          <w:b/>
          <w:color w:val="2E308B"/>
          <w:sz w:val="20"/>
          <w:szCs w:val="20"/>
        </w:rPr>
        <w:t xml:space="preserve">The amount of time it took to sell a home continued to grow longer as the year progressed. </w:t>
      </w:r>
    </w:p>
    <w:p w14:paraId="16A91B36" w14:textId="77777777" w:rsidR="00ED280C" w:rsidRDefault="00ED280C" w:rsidP="00ED280C">
      <w:pPr>
        <w:rPr>
          <w:rFonts w:ascii="Arial" w:hAnsi="Arial" w:cs="Arial"/>
          <w:color w:val="1D1B11"/>
          <w:sz w:val="20"/>
          <w:szCs w:val="20"/>
        </w:rPr>
      </w:pPr>
    </w:p>
    <w:p w14:paraId="7085AFF8" w14:textId="77777777" w:rsidR="00ED280C" w:rsidRDefault="00ED280C" w:rsidP="00ED280C">
      <w:pPr>
        <w:rPr>
          <w:rFonts w:ascii="Arial" w:hAnsi="Arial" w:cs="Arial"/>
          <w:color w:val="1D1B11"/>
          <w:sz w:val="20"/>
          <w:szCs w:val="20"/>
        </w:rPr>
      </w:pPr>
      <w:r w:rsidRPr="002627FA">
        <w:rPr>
          <w:rFonts w:ascii="Arial" w:hAnsi="Arial" w:cs="Arial"/>
          <w:color w:val="1D1B11"/>
          <w:sz w:val="20"/>
          <w:szCs w:val="20"/>
        </w:rPr>
        <w:t>The Expected Market Time, the amount of time it would take to place a home listed today into escrow down the road (based upon current supply and demand)</w:t>
      </w:r>
      <w:r w:rsidRPr="008266D2">
        <w:rPr>
          <w:rFonts w:ascii="Arial" w:hAnsi="Arial" w:cs="Arial"/>
          <w:color w:val="1D1B11"/>
          <w:sz w:val="20"/>
          <w:szCs w:val="20"/>
        </w:rPr>
        <w:t>,</w:t>
      </w:r>
      <w:r w:rsidRPr="002627FA">
        <w:rPr>
          <w:rFonts w:ascii="Arial" w:hAnsi="Arial" w:cs="Arial"/>
          <w:color w:val="1D1B11"/>
          <w:sz w:val="20"/>
          <w:szCs w:val="20"/>
        </w:rPr>
        <w:t xml:space="preserve"> </w:t>
      </w:r>
      <w:r>
        <w:rPr>
          <w:rFonts w:ascii="Arial" w:hAnsi="Arial" w:cs="Arial"/>
          <w:color w:val="1D1B11"/>
          <w:sz w:val="20"/>
          <w:szCs w:val="20"/>
        </w:rPr>
        <w:t xml:space="preserve">started the year at an extremely fast pace of only 33 days. It was an insane market that heavily favored sellers. Homes were flying off the market and buyers were willing to pay way over the asking price to obtain a home. It reached a record low level of 30 days in March. </w:t>
      </w:r>
    </w:p>
    <w:p w14:paraId="53BCB6A0" w14:textId="77777777" w:rsidR="00ED280C" w:rsidRDefault="00ED280C" w:rsidP="00ED280C">
      <w:pPr>
        <w:rPr>
          <w:rFonts w:ascii="Arial" w:hAnsi="Arial" w:cs="Arial"/>
          <w:color w:val="1D1B11"/>
          <w:sz w:val="20"/>
          <w:szCs w:val="20"/>
        </w:rPr>
      </w:pPr>
    </w:p>
    <w:p w14:paraId="09B709F2" w14:textId="77777777" w:rsidR="00ED280C" w:rsidRDefault="00ED280C" w:rsidP="00ED280C">
      <w:pPr>
        <w:rPr>
          <w:rFonts w:ascii="Arial" w:hAnsi="Arial" w:cs="Arial"/>
          <w:color w:val="1D1B11"/>
          <w:sz w:val="20"/>
          <w:szCs w:val="20"/>
        </w:rPr>
      </w:pPr>
      <w:r>
        <w:rPr>
          <w:rFonts w:ascii="Arial" w:hAnsi="Arial" w:cs="Arial"/>
          <w:color w:val="1D1B11"/>
          <w:sz w:val="20"/>
          <w:szCs w:val="20"/>
        </w:rPr>
        <w:t xml:space="preserve">Yet, as mortgage rates continued to climb, demand receded, the inventory rose, and the Expected Market Time grew. It surpassed 40 days in May, after 15 months below 40-days, an insane, nearly instant pace. It eclipsed 50 days in early June, 60 days in late June, and 70 days in July. It retreated slightly in August when rates dropped back below 6%, but then increased as rates soared in September and October. It surpassed 100 days in November before retreating to 97 days by year’s end as rates eased to the low 6’s to finish off the year. In the past two weeks, the Expected Market Time for all of Los Angeles County dropped from 103 to 97 days, a bit slower than the 72 days posted in December 2019. </w:t>
      </w:r>
    </w:p>
    <w:p w14:paraId="4E053904" w14:textId="77777777" w:rsidR="00ED280C" w:rsidRDefault="00ED280C" w:rsidP="00ED280C">
      <w:pPr>
        <w:spacing w:after="160" w:line="259" w:lineRule="auto"/>
        <w:rPr>
          <w:rFonts w:ascii="Arial" w:hAnsi="Arial" w:cs="Arial"/>
          <w:color w:val="1D1B11"/>
          <w:sz w:val="20"/>
          <w:szCs w:val="20"/>
        </w:rPr>
      </w:pPr>
      <w:r>
        <w:rPr>
          <w:rFonts w:ascii="Arial" w:hAnsi="Arial" w:cs="Arial"/>
          <w:noProof/>
          <w:color w:val="1D1B11"/>
          <w:sz w:val="20"/>
          <w:szCs w:val="20"/>
        </w:rPr>
        <w:drawing>
          <wp:anchor distT="0" distB="0" distL="114300" distR="114300" simplePos="0" relativeHeight="251662336" behindDoc="0" locked="0" layoutInCell="1" allowOverlap="1" wp14:anchorId="263CA860" wp14:editId="1705A353">
            <wp:simplePos x="0" y="0"/>
            <wp:positionH relativeFrom="margin">
              <wp:align>center</wp:align>
            </wp:positionH>
            <wp:positionV relativeFrom="paragraph">
              <wp:posOffset>55880</wp:posOffset>
            </wp:positionV>
            <wp:extent cx="4991100" cy="3655980"/>
            <wp:effectExtent l="190500" t="190500" r="190500" b="192405"/>
            <wp:wrapNone/>
            <wp:docPr id="56982" name="Picture 5698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 name="Picture 56982"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1100" cy="36559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9693FD2" w14:textId="77777777" w:rsidR="00ED280C" w:rsidRDefault="00ED280C" w:rsidP="00ED280C">
      <w:pPr>
        <w:spacing w:after="160" w:line="259" w:lineRule="auto"/>
        <w:rPr>
          <w:rFonts w:ascii="Arial" w:hAnsi="Arial" w:cs="Arial"/>
          <w:color w:val="1D1B11"/>
          <w:sz w:val="20"/>
          <w:szCs w:val="20"/>
        </w:rPr>
      </w:pPr>
    </w:p>
    <w:p w14:paraId="15C22E50" w14:textId="77777777" w:rsidR="00ED280C" w:rsidRDefault="00ED280C" w:rsidP="00ED280C">
      <w:pPr>
        <w:spacing w:after="160" w:line="259" w:lineRule="auto"/>
        <w:rPr>
          <w:rFonts w:ascii="Arial" w:hAnsi="Arial" w:cs="Arial"/>
          <w:color w:val="1D1B11"/>
          <w:sz w:val="20"/>
          <w:szCs w:val="20"/>
        </w:rPr>
      </w:pPr>
      <w:r>
        <w:rPr>
          <w:rFonts w:ascii="Arial" w:hAnsi="Arial" w:cs="Arial"/>
          <w:color w:val="1D1B11"/>
          <w:sz w:val="20"/>
          <w:szCs w:val="20"/>
        </w:rPr>
        <w:br w:type="page"/>
      </w:r>
    </w:p>
    <w:p w14:paraId="5577706E" w14:textId="77777777" w:rsidR="00ED280C" w:rsidRPr="000D1BC9" w:rsidRDefault="00ED280C" w:rsidP="00ED280C">
      <w:pPr>
        <w:rPr>
          <w:rFonts w:ascii="Arial" w:hAnsi="Arial" w:cs="Arial"/>
          <w:b/>
          <w:color w:val="2E308B"/>
          <w:sz w:val="40"/>
          <w:szCs w:val="40"/>
        </w:rPr>
      </w:pPr>
      <w:r>
        <w:rPr>
          <w:rFonts w:ascii="Arial" w:hAnsi="Arial" w:cs="Arial"/>
          <w:b/>
          <w:color w:val="2E308B"/>
          <w:sz w:val="40"/>
          <w:szCs w:val="40"/>
        </w:rPr>
        <w:lastRenderedPageBreak/>
        <w:t>The 2023 Forecast</w:t>
      </w:r>
    </w:p>
    <w:p w14:paraId="6220FCBB" w14:textId="77777777" w:rsidR="00ED280C" w:rsidRDefault="00ED280C" w:rsidP="00ED280C">
      <w:pPr>
        <w:rPr>
          <w:rFonts w:ascii="Arial" w:hAnsi="Arial" w:cs="Arial"/>
          <w:b/>
          <w:color w:val="2E308B"/>
          <w:sz w:val="20"/>
          <w:szCs w:val="20"/>
        </w:rPr>
      </w:pPr>
      <w:r>
        <w:rPr>
          <w:rFonts w:ascii="Arial" w:hAnsi="Arial" w:cs="Arial"/>
          <w:b/>
          <w:color w:val="2E308B"/>
          <w:sz w:val="20"/>
          <w:szCs w:val="20"/>
        </w:rPr>
        <w:t>A subdued year for housing.</w:t>
      </w:r>
    </w:p>
    <w:p w14:paraId="268C8ACB" w14:textId="77777777" w:rsidR="00ED280C" w:rsidRDefault="00ED280C" w:rsidP="00ED280C">
      <w:pPr>
        <w:rPr>
          <w:rFonts w:ascii="Arial" w:hAnsi="Arial" w:cs="Arial"/>
          <w:b/>
          <w:color w:val="2E308B"/>
          <w:sz w:val="20"/>
          <w:szCs w:val="20"/>
        </w:rPr>
      </w:pPr>
    </w:p>
    <w:p w14:paraId="78B5670F" w14:textId="77777777" w:rsidR="00ED280C" w:rsidRDefault="00ED280C" w:rsidP="00ED280C">
      <w:pPr>
        <w:rPr>
          <w:rFonts w:ascii="Arial" w:hAnsi="Arial" w:cs="Arial"/>
          <w:color w:val="1D1B11"/>
          <w:sz w:val="20"/>
          <w:szCs w:val="20"/>
        </w:rPr>
      </w:pPr>
      <w:r w:rsidRPr="00870A28">
        <w:rPr>
          <w:rFonts w:ascii="Arial" w:hAnsi="Arial" w:cs="Arial"/>
          <w:color w:val="1D1B11"/>
          <w:sz w:val="20"/>
          <w:szCs w:val="20"/>
        </w:rPr>
        <w:t xml:space="preserve">After two years of runaway home prices, the Federal Reserve stepped in to reverse engineer rampant inflation and has been utilizing the housing market as one of the main economic engines to achieve its objective. They increased the Federal Funds Rate from nearly 0% at the start of the year to 4.5% in December, its highest level since 2007 and its fastest rise in more than 40 years. Long-term mortgage rates responded rising from 3.25% at the start of the year to over 7.25% in October, more than doubling. They eased below 6.5% in December as inflation numbers began to improve for the second consecutive month. Yet, inflation remains elevated, up 7.1% year over year through November. It hit 9% in June. Core inflation, less </w:t>
      </w:r>
      <w:proofErr w:type="gramStart"/>
      <w:r w:rsidRPr="00870A28">
        <w:rPr>
          <w:rFonts w:ascii="Arial" w:hAnsi="Arial" w:cs="Arial"/>
          <w:color w:val="1D1B11"/>
          <w:sz w:val="20"/>
          <w:szCs w:val="20"/>
        </w:rPr>
        <w:t>the volatility</w:t>
      </w:r>
      <w:proofErr w:type="gramEnd"/>
      <w:r w:rsidRPr="00870A28">
        <w:rPr>
          <w:rFonts w:ascii="Arial" w:hAnsi="Arial" w:cs="Arial"/>
          <w:color w:val="1D1B11"/>
          <w:sz w:val="20"/>
          <w:szCs w:val="20"/>
        </w:rPr>
        <w:t xml:space="preserve"> of food and energy, is currently at 5.96%, after reaching 6.7% in September. The Federal Reserve’s core inflation goal is 2%, so they have a long way to go. The overall United States economy has remained resilient backed by a very strong labor market, sky-high job openings, low unemployment, and increasing consumer spending. Yet, the high-interest rate environment has been rocking the financial markets. The unrelenting Federal Reserve policies will eventually instigate an economic recession in 2023 that will most likely begin by mid-year. As a result, the local housing market is going to be subdued in 2023, especially in the first half of the year. Here is the forecast</w:t>
      </w:r>
      <w:r>
        <w:rPr>
          <w:rFonts w:ascii="Arial" w:hAnsi="Arial" w:cs="Arial"/>
          <w:color w:val="1D1B11"/>
          <w:sz w:val="20"/>
          <w:szCs w:val="20"/>
        </w:rPr>
        <w:t>:</w:t>
      </w:r>
    </w:p>
    <w:p w14:paraId="623F9811" w14:textId="77777777" w:rsidR="00ED280C" w:rsidRDefault="00ED280C" w:rsidP="00ED280C">
      <w:pPr>
        <w:rPr>
          <w:rFonts w:ascii="Arial" w:hAnsi="Arial" w:cs="Arial"/>
          <w:color w:val="1D1B11"/>
          <w:sz w:val="20"/>
          <w:szCs w:val="20"/>
        </w:rPr>
      </w:pPr>
    </w:p>
    <w:p w14:paraId="3CB9BA7D" w14:textId="77777777" w:rsidR="00ED280C" w:rsidRPr="00870A28" w:rsidRDefault="00ED280C" w:rsidP="00ED280C">
      <w:pPr>
        <w:pStyle w:val="ListParagraph"/>
        <w:numPr>
          <w:ilvl w:val="0"/>
          <w:numId w:val="12"/>
        </w:numPr>
        <w:rPr>
          <w:rFonts w:ascii="Arial" w:hAnsi="Arial" w:cs="Arial"/>
          <w:bCs/>
          <w:color w:val="1D1B11"/>
          <w:sz w:val="20"/>
          <w:szCs w:val="20"/>
        </w:rPr>
      </w:pPr>
      <w:r w:rsidRPr="00870A28">
        <w:rPr>
          <w:rFonts w:ascii="Arial" w:hAnsi="Arial" w:cs="Arial"/>
          <w:b/>
          <w:color w:val="1D1B11"/>
          <w:sz w:val="20"/>
          <w:szCs w:val="20"/>
        </w:rPr>
        <w:t xml:space="preserve">Active Inventory </w:t>
      </w:r>
      <w:r w:rsidRPr="00870A28">
        <w:rPr>
          <w:rFonts w:ascii="Arial" w:hAnsi="Arial" w:cs="Arial"/>
          <w:bCs/>
          <w:color w:val="1D1B11"/>
          <w:sz w:val="20"/>
          <w:szCs w:val="20"/>
        </w:rPr>
        <w:t xml:space="preserve">– the year will begin with </w:t>
      </w:r>
      <w:r>
        <w:rPr>
          <w:rFonts w:ascii="Arial" w:hAnsi="Arial" w:cs="Arial"/>
          <w:bCs/>
          <w:color w:val="1D1B11"/>
          <w:sz w:val="20"/>
          <w:szCs w:val="20"/>
        </w:rPr>
        <w:t>close to 8,000</w:t>
      </w:r>
      <w:r w:rsidRPr="00870A28">
        <w:rPr>
          <w:rFonts w:ascii="Arial" w:hAnsi="Arial" w:cs="Arial"/>
          <w:bCs/>
          <w:color w:val="1D1B11"/>
          <w:sz w:val="20"/>
          <w:szCs w:val="20"/>
        </w:rPr>
        <w:t xml:space="preserve"> homes, the </w:t>
      </w:r>
      <w:r>
        <w:rPr>
          <w:rFonts w:ascii="Arial" w:hAnsi="Arial" w:cs="Arial"/>
          <w:bCs/>
          <w:color w:val="1D1B11"/>
          <w:sz w:val="20"/>
          <w:szCs w:val="20"/>
        </w:rPr>
        <w:t>third</w:t>
      </w:r>
      <w:r w:rsidRPr="00870A28">
        <w:rPr>
          <w:rFonts w:ascii="Arial" w:hAnsi="Arial" w:cs="Arial"/>
          <w:bCs/>
          <w:color w:val="1D1B11"/>
          <w:sz w:val="20"/>
          <w:szCs w:val="20"/>
        </w:rPr>
        <w:t xml:space="preserve"> lowest start to a year since tracking began in </w:t>
      </w:r>
      <w:r>
        <w:rPr>
          <w:rFonts w:ascii="Arial" w:hAnsi="Arial" w:cs="Arial"/>
          <w:bCs/>
          <w:color w:val="1D1B11"/>
          <w:sz w:val="20"/>
          <w:szCs w:val="20"/>
        </w:rPr>
        <w:t>2012</w:t>
      </w:r>
      <w:r w:rsidRPr="00870A28">
        <w:rPr>
          <w:rFonts w:ascii="Arial" w:hAnsi="Arial" w:cs="Arial"/>
          <w:bCs/>
          <w:color w:val="1D1B11"/>
          <w:sz w:val="20"/>
          <w:szCs w:val="20"/>
        </w:rPr>
        <w:t xml:space="preserve">. Only the start </w:t>
      </w:r>
      <w:r>
        <w:rPr>
          <w:rFonts w:ascii="Arial" w:hAnsi="Arial" w:cs="Arial"/>
          <w:bCs/>
          <w:color w:val="1D1B11"/>
          <w:sz w:val="20"/>
          <w:szCs w:val="20"/>
        </w:rPr>
        <w:t xml:space="preserve">to </w:t>
      </w:r>
      <w:r w:rsidRPr="00870A28">
        <w:rPr>
          <w:rFonts w:ascii="Arial" w:hAnsi="Arial" w:cs="Arial"/>
          <w:bCs/>
          <w:color w:val="1D1B11"/>
          <w:sz w:val="20"/>
          <w:szCs w:val="20"/>
        </w:rPr>
        <w:t>202</w:t>
      </w:r>
      <w:r>
        <w:rPr>
          <w:rFonts w:ascii="Arial" w:hAnsi="Arial" w:cs="Arial"/>
          <w:bCs/>
          <w:color w:val="1D1B11"/>
          <w:sz w:val="20"/>
          <w:szCs w:val="20"/>
        </w:rPr>
        <w:t>1 and 2022 were lower with 6% and 45</w:t>
      </w:r>
      <w:r w:rsidRPr="00870A28">
        <w:rPr>
          <w:rFonts w:ascii="Arial" w:hAnsi="Arial" w:cs="Arial"/>
          <w:bCs/>
          <w:color w:val="1D1B11"/>
          <w:sz w:val="20"/>
          <w:szCs w:val="20"/>
        </w:rPr>
        <w:t>% less</w:t>
      </w:r>
      <w:r>
        <w:rPr>
          <w:rFonts w:ascii="Arial" w:hAnsi="Arial" w:cs="Arial"/>
          <w:bCs/>
          <w:color w:val="1D1B11"/>
          <w:sz w:val="20"/>
          <w:szCs w:val="20"/>
        </w:rPr>
        <w:t xml:space="preserve"> respectively</w:t>
      </w:r>
      <w:r w:rsidRPr="00870A28">
        <w:rPr>
          <w:rFonts w:ascii="Arial" w:hAnsi="Arial" w:cs="Arial"/>
          <w:bCs/>
          <w:color w:val="1D1B11"/>
          <w:sz w:val="20"/>
          <w:szCs w:val="20"/>
        </w:rPr>
        <w:t xml:space="preserve">. Prior to COVID, the average start was </w:t>
      </w:r>
      <w:r w:rsidRPr="007964B1">
        <w:rPr>
          <w:rFonts w:ascii="Arial" w:hAnsi="Arial" w:cs="Arial"/>
          <w:bCs/>
          <w:color w:val="1D1B11"/>
          <w:sz w:val="20"/>
          <w:szCs w:val="20"/>
        </w:rPr>
        <w:t>10,079</w:t>
      </w:r>
      <w:r w:rsidRPr="00870A28">
        <w:rPr>
          <w:rFonts w:ascii="Arial" w:hAnsi="Arial" w:cs="Arial"/>
          <w:bCs/>
          <w:color w:val="1D1B11"/>
          <w:sz w:val="20"/>
          <w:szCs w:val="20"/>
        </w:rPr>
        <w:t xml:space="preserve">, with </w:t>
      </w:r>
      <w:r>
        <w:rPr>
          <w:rFonts w:ascii="Arial" w:hAnsi="Arial" w:cs="Arial"/>
          <w:bCs/>
          <w:color w:val="1D1B11"/>
          <w:sz w:val="20"/>
          <w:szCs w:val="20"/>
        </w:rPr>
        <w:t>26</w:t>
      </w:r>
      <w:r w:rsidRPr="00870A28">
        <w:rPr>
          <w:rFonts w:ascii="Arial" w:hAnsi="Arial" w:cs="Arial"/>
          <w:bCs/>
          <w:color w:val="1D1B11"/>
          <w:sz w:val="20"/>
          <w:szCs w:val="20"/>
        </w:rPr>
        <w:t xml:space="preserve">% more available homes to purchase. The inventory crisis will continue. Expect the inventory to rise on the back of diminished demand, only to be hampered by the “Hunkering Down” effect where homeowners opt to stay in their homes due to their underlying low mortgage rates. More homes will enter the fray once mortgage rates drop below 5.5%, most likely sometime in mid-2023. Expect the active inventory to peak around August eclipsing </w:t>
      </w:r>
      <w:r>
        <w:rPr>
          <w:rFonts w:ascii="Arial" w:hAnsi="Arial" w:cs="Arial"/>
          <w:bCs/>
          <w:color w:val="1D1B11"/>
          <w:sz w:val="20"/>
          <w:szCs w:val="20"/>
        </w:rPr>
        <w:t>12,000</w:t>
      </w:r>
      <w:r w:rsidRPr="00870A28">
        <w:rPr>
          <w:rFonts w:ascii="Arial" w:hAnsi="Arial" w:cs="Arial"/>
          <w:bCs/>
          <w:color w:val="1D1B11"/>
          <w:sz w:val="20"/>
          <w:szCs w:val="20"/>
        </w:rPr>
        <w:t xml:space="preserve"> homes, well below the </w:t>
      </w:r>
      <w:proofErr w:type="gramStart"/>
      <w:r>
        <w:rPr>
          <w:rFonts w:ascii="Arial" w:hAnsi="Arial" w:cs="Arial"/>
          <w:bCs/>
          <w:color w:val="1D1B11"/>
          <w:sz w:val="20"/>
          <w:szCs w:val="20"/>
        </w:rPr>
        <w:t>13</w:t>
      </w:r>
      <w:r w:rsidRPr="00870A28">
        <w:rPr>
          <w:rFonts w:ascii="Arial" w:hAnsi="Arial" w:cs="Arial"/>
          <w:bCs/>
          <w:color w:val="1D1B11"/>
          <w:sz w:val="20"/>
          <w:szCs w:val="20"/>
        </w:rPr>
        <w:t>,</w:t>
      </w:r>
      <w:r>
        <w:rPr>
          <w:rFonts w:ascii="Arial" w:hAnsi="Arial" w:cs="Arial"/>
          <w:bCs/>
          <w:color w:val="1D1B11"/>
          <w:sz w:val="20"/>
          <w:szCs w:val="20"/>
        </w:rPr>
        <w:t>9</w:t>
      </w:r>
      <w:r w:rsidRPr="00870A28">
        <w:rPr>
          <w:rFonts w:ascii="Arial" w:hAnsi="Arial" w:cs="Arial"/>
          <w:bCs/>
          <w:color w:val="1D1B11"/>
          <w:sz w:val="20"/>
          <w:szCs w:val="20"/>
        </w:rPr>
        <w:t>00 home</w:t>
      </w:r>
      <w:proofErr w:type="gramEnd"/>
      <w:r w:rsidRPr="00870A28">
        <w:rPr>
          <w:rFonts w:ascii="Arial" w:hAnsi="Arial" w:cs="Arial"/>
          <w:bCs/>
          <w:color w:val="1D1B11"/>
          <w:sz w:val="20"/>
          <w:szCs w:val="20"/>
        </w:rPr>
        <w:t xml:space="preserve"> peak average prior to COVID.</w:t>
      </w:r>
    </w:p>
    <w:p w14:paraId="3C341FFB" w14:textId="77777777" w:rsidR="00ED280C" w:rsidRPr="00870A28" w:rsidRDefault="00ED280C" w:rsidP="00ED280C">
      <w:pPr>
        <w:pStyle w:val="ListParagraph"/>
        <w:numPr>
          <w:ilvl w:val="0"/>
          <w:numId w:val="12"/>
        </w:numPr>
        <w:rPr>
          <w:rFonts w:ascii="Arial" w:hAnsi="Arial" w:cs="Arial"/>
          <w:bCs/>
          <w:color w:val="1D1B11"/>
          <w:sz w:val="20"/>
          <w:szCs w:val="20"/>
        </w:rPr>
      </w:pPr>
      <w:r w:rsidRPr="00870A28">
        <w:rPr>
          <w:rFonts w:ascii="Arial" w:hAnsi="Arial" w:cs="Arial"/>
          <w:b/>
          <w:color w:val="1D1B11"/>
          <w:sz w:val="20"/>
          <w:szCs w:val="20"/>
        </w:rPr>
        <w:t>Demand</w:t>
      </w:r>
      <w:r w:rsidRPr="00870A28">
        <w:rPr>
          <w:rFonts w:ascii="Arial" w:hAnsi="Arial" w:cs="Arial"/>
          <w:bCs/>
          <w:color w:val="1D1B11"/>
          <w:sz w:val="20"/>
          <w:szCs w:val="20"/>
        </w:rPr>
        <w:t xml:space="preserve"> – due to the persistent high mortgage rate environment, buyer demand will continue to be muted. With less competition and pressure on affordability, buyers will be extremely cautious and unwilling to stretch above the asking price. They will be looking very carefully at price; so, expect home values to drop between 6.5 to 8.5% for the year. There is a strong potential for mortgage rates to dip below 5.5% by the summer due to the combination of a slowing economy and falling inflation. With lower rates, demand will strengthen along with affordability. The combination of lower rates and lower home prices will prompt this rise in pending sales activity. </w:t>
      </w:r>
    </w:p>
    <w:p w14:paraId="36BBC078" w14:textId="77777777" w:rsidR="00ED280C" w:rsidRPr="00870A28" w:rsidRDefault="00ED280C" w:rsidP="00ED280C">
      <w:pPr>
        <w:pStyle w:val="ListParagraph"/>
        <w:numPr>
          <w:ilvl w:val="0"/>
          <w:numId w:val="12"/>
        </w:numPr>
        <w:rPr>
          <w:rFonts w:ascii="Arial" w:hAnsi="Arial" w:cs="Arial"/>
          <w:bCs/>
          <w:color w:val="1D1B11"/>
          <w:sz w:val="20"/>
          <w:szCs w:val="20"/>
        </w:rPr>
      </w:pPr>
      <w:r w:rsidRPr="00870A28">
        <w:rPr>
          <w:rFonts w:ascii="Arial" w:hAnsi="Arial" w:cs="Arial"/>
          <w:b/>
          <w:color w:val="1D1B11"/>
          <w:sz w:val="20"/>
          <w:szCs w:val="20"/>
        </w:rPr>
        <w:t>Housing Cycle</w:t>
      </w:r>
      <w:r w:rsidRPr="00870A28">
        <w:rPr>
          <w:rFonts w:ascii="Arial" w:hAnsi="Arial" w:cs="Arial"/>
          <w:bCs/>
          <w:color w:val="1D1B11"/>
          <w:sz w:val="20"/>
          <w:szCs w:val="20"/>
        </w:rPr>
        <w:t xml:space="preserve"> - the housing market will follow a normal housing cycle. The strongest demand coupled with the highest levels of new sellers will occur during the Spring Market. This will be followed by slightly less demand and a continued new supply of homes in the Summer Market. From there, demand will drop further along with fewer homes entering the fray in the Autumn Market. Finally, all the distractions of the Holiday Market will be punctuated with the lowest demand of the year and few homeowners opting to sell.</w:t>
      </w:r>
    </w:p>
    <w:p w14:paraId="5BD37EBA" w14:textId="77777777" w:rsidR="00ED280C" w:rsidRDefault="00ED280C" w:rsidP="00ED280C">
      <w:pPr>
        <w:pStyle w:val="ListParagraph"/>
        <w:numPr>
          <w:ilvl w:val="0"/>
          <w:numId w:val="12"/>
        </w:numPr>
        <w:rPr>
          <w:rFonts w:ascii="Arial" w:hAnsi="Arial" w:cs="Arial"/>
          <w:color w:val="1D1B11"/>
          <w:sz w:val="20"/>
          <w:szCs w:val="20"/>
        </w:rPr>
      </w:pPr>
      <w:r>
        <w:rPr>
          <w:rFonts w:ascii="Arial" w:hAnsi="Arial" w:cs="Arial"/>
          <w:b/>
          <w:color w:val="1D1B11"/>
          <w:sz w:val="20"/>
          <w:szCs w:val="20"/>
        </w:rPr>
        <w:t xml:space="preserve">Closed Sales </w:t>
      </w:r>
      <w:r>
        <w:rPr>
          <w:rFonts w:ascii="Arial" w:hAnsi="Arial" w:cs="Arial"/>
          <w:color w:val="1D1B11"/>
          <w:sz w:val="20"/>
          <w:szCs w:val="20"/>
        </w:rPr>
        <w:t>- t</w:t>
      </w:r>
      <w:r w:rsidRPr="006169FC">
        <w:rPr>
          <w:rFonts w:ascii="Arial" w:hAnsi="Arial" w:cs="Arial"/>
          <w:color w:val="1D1B11"/>
          <w:sz w:val="20"/>
          <w:szCs w:val="20"/>
        </w:rPr>
        <w:t xml:space="preserve">he number of successful, closed sales will </w:t>
      </w:r>
      <w:r>
        <w:rPr>
          <w:rFonts w:ascii="Arial" w:hAnsi="Arial" w:cs="Arial"/>
          <w:color w:val="1D1B11"/>
          <w:sz w:val="20"/>
          <w:szCs w:val="20"/>
        </w:rPr>
        <w:t>decrease by 6.5 to 8% compared to 2022, with around 51,000 (the lowest sales volume since 2008)</w:t>
      </w:r>
      <w:r w:rsidRPr="006169FC">
        <w:rPr>
          <w:rFonts w:ascii="Arial" w:hAnsi="Arial" w:cs="Arial"/>
          <w:color w:val="1D1B11"/>
          <w:sz w:val="20"/>
          <w:szCs w:val="20"/>
        </w:rPr>
        <w:t>.</w:t>
      </w:r>
    </w:p>
    <w:p w14:paraId="5BB19C2E" w14:textId="77777777" w:rsidR="00ED280C" w:rsidRPr="00412B20" w:rsidRDefault="00ED280C" w:rsidP="00ED280C">
      <w:pPr>
        <w:pStyle w:val="ListParagraph"/>
        <w:numPr>
          <w:ilvl w:val="0"/>
          <w:numId w:val="12"/>
        </w:numPr>
        <w:rPr>
          <w:rFonts w:ascii="Arial" w:hAnsi="Arial" w:cs="Arial"/>
          <w:color w:val="1D1B11"/>
          <w:sz w:val="20"/>
          <w:szCs w:val="20"/>
        </w:rPr>
      </w:pPr>
      <w:r>
        <w:rPr>
          <w:rFonts w:ascii="Arial" w:hAnsi="Arial" w:cs="Arial"/>
          <w:b/>
          <w:color w:val="1D1B11"/>
          <w:sz w:val="20"/>
          <w:szCs w:val="20"/>
        </w:rPr>
        <w:t>Luxury Market</w:t>
      </w:r>
      <w:r>
        <w:rPr>
          <w:rFonts w:ascii="Arial" w:hAnsi="Arial" w:cs="Arial"/>
          <w:color w:val="1D1B11"/>
          <w:sz w:val="20"/>
          <w:szCs w:val="20"/>
        </w:rPr>
        <w:t xml:space="preserve"> – luxury housing will be sluggish and will continue to transition to normal, longer market times, often taking months to procure a sale. The Spring Market will be the strongest for luxury and will become a bit more sluggish and susceptible to Wall Street volatility during the second half of the year. </w:t>
      </w:r>
    </w:p>
    <w:p w14:paraId="47C17F28" w14:textId="77777777" w:rsidR="00ED280C" w:rsidRDefault="00ED280C" w:rsidP="00ED280C">
      <w:pPr>
        <w:pStyle w:val="ListParagraph"/>
        <w:numPr>
          <w:ilvl w:val="0"/>
          <w:numId w:val="12"/>
        </w:numPr>
        <w:rPr>
          <w:rFonts w:ascii="Arial" w:hAnsi="Arial" w:cs="Arial"/>
          <w:color w:val="1D1B11"/>
          <w:sz w:val="20"/>
          <w:szCs w:val="20"/>
        </w:rPr>
      </w:pPr>
      <w:r w:rsidRPr="005653DB">
        <w:rPr>
          <w:rFonts w:ascii="Arial" w:hAnsi="Arial" w:cs="Arial"/>
          <w:b/>
          <w:color w:val="1D1B11"/>
          <w:sz w:val="20"/>
          <w:szCs w:val="20"/>
        </w:rPr>
        <w:t xml:space="preserve">Interest Rates </w:t>
      </w:r>
      <w:r w:rsidRPr="005653DB">
        <w:rPr>
          <w:rFonts w:ascii="Arial" w:hAnsi="Arial" w:cs="Arial"/>
          <w:color w:val="1D1B11"/>
          <w:sz w:val="20"/>
          <w:szCs w:val="20"/>
        </w:rPr>
        <w:t>–</w:t>
      </w:r>
      <w:r>
        <w:rPr>
          <w:rFonts w:ascii="Arial" w:hAnsi="Arial" w:cs="Arial"/>
          <w:color w:val="1D1B11"/>
          <w:sz w:val="20"/>
          <w:szCs w:val="20"/>
        </w:rPr>
        <w:t xml:space="preserve"> look for mortgage rates to start around 6.5% and slowly, but methodically drop as the economy slows, and inflation gradually eases. As the United States economy slips into a recession, expect rates to fall to below 5.5% and may even fall to below 5% by year’s end. If mortgage rates recede to these levels, housing will stabilize, and home values will stop their decline. </w:t>
      </w:r>
    </w:p>
    <w:p w14:paraId="6537F154" w14:textId="77777777" w:rsidR="00ED280C" w:rsidRDefault="00ED280C" w:rsidP="00ED280C">
      <w:pPr>
        <w:pStyle w:val="ListParagraph"/>
        <w:numPr>
          <w:ilvl w:val="0"/>
          <w:numId w:val="12"/>
        </w:numPr>
        <w:rPr>
          <w:rFonts w:ascii="Arial" w:hAnsi="Arial" w:cs="Arial"/>
          <w:color w:val="1D1B11"/>
          <w:sz w:val="20"/>
          <w:szCs w:val="20"/>
        </w:rPr>
      </w:pPr>
      <w:r>
        <w:rPr>
          <w:rFonts w:ascii="Arial" w:hAnsi="Arial" w:cs="Arial"/>
          <w:b/>
          <w:color w:val="1D1B11"/>
          <w:sz w:val="20"/>
          <w:szCs w:val="20"/>
        </w:rPr>
        <w:t xml:space="preserve">Distressed Inventory </w:t>
      </w:r>
      <w:r>
        <w:rPr>
          <w:rFonts w:ascii="Arial" w:hAnsi="Arial" w:cs="Arial"/>
          <w:color w:val="1D1B11"/>
          <w:sz w:val="20"/>
          <w:szCs w:val="20"/>
        </w:rPr>
        <w:t xml:space="preserve">– do not expect a wave of foreclosures. The number of active forbearances has dwindled to very low levels. Of the over 7.8 million forbearance exits, 91% are either performing monthly or paid off their loans. Only 1% are in active foreclosure, less than 100,000 across the United States, and the current delinquency rate is at its lowest level in decades. Expect slightly more distressed sales in 2023 as there are some homeowners who will be susceptible to an economic downturn. Nonetheless, the total numbers will be very low and undetectable in the broader housing market. </w:t>
      </w:r>
    </w:p>
    <w:p w14:paraId="2E320E84" w14:textId="77777777" w:rsidR="00ED280C" w:rsidRDefault="00ED280C" w:rsidP="00ED280C">
      <w:pPr>
        <w:rPr>
          <w:rFonts w:ascii="Arial" w:hAnsi="Arial" w:cs="Arial"/>
          <w:color w:val="1D1B11"/>
          <w:sz w:val="20"/>
          <w:szCs w:val="20"/>
        </w:rPr>
      </w:pPr>
    </w:p>
    <w:p w14:paraId="5163A01D" w14:textId="77777777" w:rsidR="00ED280C" w:rsidRDefault="00ED280C" w:rsidP="00ED280C">
      <w:pPr>
        <w:rPr>
          <w:rFonts w:ascii="Arial" w:hAnsi="Arial" w:cs="Arial"/>
          <w:color w:val="1D1B11"/>
          <w:sz w:val="20"/>
          <w:szCs w:val="20"/>
        </w:rPr>
      </w:pPr>
      <w:r>
        <w:rPr>
          <w:rFonts w:ascii="Arial" w:hAnsi="Arial" w:cs="Arial"/>
          <w:color w:val="1D1B11"/>
          <w:sz w:val="20"/>
          <w:szCs w:val="20"/>
        </w:rPr>
        <w:t xml:space="preserve">The bottom line: 2023 will continue where </w:t>
      </w:r>
      <w:r w:rsidRPr="008266D2">
        <w:rPr>
          <w:rFonts w:ascii="Arial" w:hAnsi="Arial" w:cs="Arial"/>
          <w:color w:val="1D1B11"/>
          <w:sz w:val="20"/>
          <w:szCs w:val="20"/>
        </w:rPr>
        <w:t>housing in</w:t>
      </w:r>
      <w:r>
        <w:rPr>
          <w:rFonts w:ascii="Arial" w:hAnsi="Arial" w:cs="Arial"/>
          <w:color w:val="1D1B11"/>
          <w:sz w:val="20"/>
          <w:szCs w:val="20"/>
        </w:rPr>
        <w:t xml:space="preserve"> 2022 left off, extremely sluggish. Housing is particularly interest rate sensitive, where even with anemic, low inventory levels, values will still drop due to severe affordability issues. Values will stop retreating only when mortgage rates drop below 5.5%, instigating more demand and more homeowners to stop “Hunkering Down” and list their homes at a more normal rate. The housing market is no longer insane, homes are for the most part not selling above their asking price, not selling immediately, not selling with multiple offers, and there is far less activity and buyer competition. </w:t>
      </w:r>
    </w:p>
    <w:p w14:paraId="76026148" w14:textId="77777777" w:rsidR="00ED280C" w:rsidRDefault="00ED280C" w:rsidP="00ED280C">
      <w:pPr>
        <w:rPr>
          <w:rFonts w:ascii="Arial" w:hAnsi="Arial" w:cs="Arial"/>
          <w:color w:val="1D1B11"/>
          <w:sz w:val="20"/>
          <w:szCs w:val="20"/>
        </w:rPr>
      </w:pPr>
    </w:p>
    <w:p w14:paraId="545B04CF" w14:textId="77777777" w:rsidR="00ED280C" w:rsidRPr="00873DC0" w:rsidRDefault="00ED280C" w:rsidP="00ED280C">
      <w:pPr>
        <w:rPr>
          <w:rFonts w:ascii="Arial" w:hAnsi="Arial" w:cs="Arial"/>
          <w:b/>
          <w:color w:val="1D1B11"/>
          <w:sz w:val="20"/>
          <w:szCs w:val="20"/>
          <w:u w:val="single"/>
        </w:rPr>
      </w:pPr>
      <w:r>
        <w:rPr>
          <w:rFonts w:ascii="Arial" w:hAnsi="Arial" w:cs="Arial"/>
          <w:color w:val="1D1B11"/>
          <w:sz w:val="20"/>
          <w:szCs w:val="20"/>
        </w:rPr>
        <w:t>Happy New Year!</w:t>
      </w:r>
    </w:p>
    <w:bookmarkEnd w:id="0"/>
    <w:p w14:paraId="4986EEC7" w14:textId="77777777" w:rsidR="00174DD7" w:rsidRDefault="00174DD7" w:rsidP="00174DD7">
      <w:pPr>
        <w:rPr>
          <w:rFonts w:ascii="Arial" w:hAnsi="Arial" w:cs="Arial"/>
          <w:color w:val="1D1B11"/>
          <w:sz w:val="20"/>
          <w:szCs w:val="20"/>
        </w:rPr>
      </w:pPr>
    </w:p>
    <w:p w14:paraId="5883188A" w14:textId="77777777" w:rsidR="00174DD7" w:rsidRPr="007833BD" w:rsidRDefault="00174DD7" w:rsidP="00174DD7">
      <w:pPr>
        <w:rPr>
          <w:rFonts w:ascii="Arial" w:hAnsi="Arial" w:cs="Arial"/>
          <w:color w:val="1D1B11"/>
          <w:sz w:val="20"/>
          <w:szCs w:val="20"/>
        </w:rPr>
      </w:pPr>
      <w:r w:rsidRPr="00462092">
        <w:rPr>
          <w:rFonts w:ascii="Arial" w:hAnsi="Arial" w:cs="Arial"/>
          <w:color w:val="1D1B11"/>
          <w:sz w:val="20"/>
          <w:szCs w:val="20"/>
        </w:rPr>
        <w:lastRenderedPageBreak/>
        <w:t xml:space="preserve">Sincerely, </w:t>
      </w:r>
      <w:r w:rsidRPr="00462092">
        <w:rPr>
          <w:rFonts w:ascii="Arial" w:hAnsi="Arial" w:cs="Arial"/>
          <w:color w:val="1D1B11"/>
          <w:sz w:val="20"/>
          <w:szCs w:val="20"/>
        </w:rPr>
        <w:br/>
      </w:r>
      <w:r w:rsidRPr="00462092">
        <w:rPr>
          <w:rStyle w:val="Strong"/>
          <w:rFonts w:ascii="Arial" w:hAnsi="Arial" w:cs="Arial"/>
          <w:color w:val="1D1B11"/>
          <w:sz w:val="20"/>
          <w:szCs w:val="20"/>
        </w:rPr>
        <w:t>Steven Thomas</w:t>
      </w:r>
      <w:r w:rsidRPr="00462092">
        <w:rPr>
          <w:rFonts w:ascii="Arial" w:hAnsi="Arial" w:cs="Arial"/>
          <w:b/>
          <w:bCs/>
          <w:color w:val="1D1B11"/>
          <w:sz w:val="20"/>
          <w:szCs w:val="20"/>
        </w:rPr>
        <w:br/>
      </w:r>
      <w:r>
        <w:rPr>
          <w:rStyle w:val="Strong"/>
          <w:rFonts w:ascii="Arial" w:hAnsi="Arial" w:cs="Arial"/>
          <w:color w:val="1D1B11"/>
          <w:sz w:val="20"/>
          <w:szCs w:val="20"/>
        </w:rPr>
        <w:t>Quantitative Economics and Decision Sciences</w:t>
      </w:r>
    </w:p>
    <w:p w14:paraId="38515494" w14:textId="77777777" w:rsidR="00174DD7" w:rsidRDefault="00174DD7" w:rsidP="00174DD7"/>
    <w:p w14:paraId="092B396E" w14:textId="77777777" w:rsidR="00ED280C" w:rsidRPr="00462092" w:rsidRDefault="00ED280C" w:rsidP="00ED280C">
      <w:bookmarkStart w:id="1" w:name="_Hlk123084176"/>
      <w:r w:rsidRPr="00462092">
        <w:t>Copyright 20</w:t>
      </w:r>
      <w:r>
        <w:t>22</w:t>
      </w:r>
      <w:r w:rsidRPr="00462092">
        <w:t xml:space="preserve">- Steven Thomas, </w:t>
      </w:r>
      <w:r>
        <w:t xml:space="preserve">Reports </w:t>
      </w:r>
      <w:proofErr w:type="gramStart"/>
      <w:r>
        <w:t>On</w:t>
      </w:r>
      <w:proofErr w:type="gramEnd"/>
      <w:r>
        <w:t xml:space="preserve"> Housing</w:t>
      </w:r>
      <w:r w:rsidRPr="00462092">
        <w:t xml:space="preserve"> - All Rights Reserved.   This report may not be reproduced in whole or part without express written permission </w:t>
      </w:r>
      <w:proofErr w:type="gramStart"/>
      <w:r w:rsidRPr="00462092">
        <w:t>by</w:t>
      </w:r>
      <w:proofErr w:type="gramEnd"/>
      <w:r>
        <w:t xml:space="preserve"> the</w:t>
      </w:r>
      <w:r w:rsidRPr="00462092">
        <w:t xml:space="preserve"> author.</w:t>
      </w:r>
    </w:p>
    <w:bookmarkEnd w:id="1"/>
    <w:p w14:paraId="5519708E" w14:textId="77777777" w:rsidR="00BA56A2" w:rsidRDefault="00BA56A2" w:rsidP="00BA56A2">
      <w:pPr>
        <w:rPr>
          <w:rFonts w:ascii="Arial" w:hAnsi="Arial" w:cs="Arial"/>
          <w:sz w:val="20"/>
          <w:szCs w:val="20"/>
        </w:rPr>
      </w:pPr>
    </w:p>
    <w:p w14:paraId="2886939F" w14:textId="0944CC5C" w:rsidR="00BA56A2" w:rsidRDefault="00BA56A2" w:rsidP="00BA56A2">
      <w:pPr>
        <w:rPr>
          <w:rFonts w:ascii="Arial" w:hAnsi="Arial" w:cs="Arial"/>
          <w:color w:val="171717"/>
          <w:sz w:val="20"/>
          <w:szCs w:val="20"/>
        </w:rPr>
      </w:pPr>
    </w:p>
    <w:p w14:paraId="2F60978D" w14:textId="4CB84471" w:rsidR="00174DD7" w:rsidRDefault="00174DD7" w:rsidP="00BA56A2">
      <w:pPr>
        <w:rPr>
          <w:rFonts w:ascii="Arial" w:hAnsi="Arial" w:cs="Arial"/>
          <w:color w:val="171717"/>
          <w:sz w:val="20"/>
          <w:szCs w:val="20"/>
        </w:rPr>
      </w:pPr>
    </w:p>
    <w:p w14:paraId="542687D4" w14:textId="6535B59E" w:rsidR="00174DD7" w:rsidRDefault="00174DD7" w:rsidP="00BA56A2">
      <w:pPr>
        <w:rPr>
          <w:rFonts w:ascii="Arial" w:hAnsi="Arial" w:cs="Arial"/>
          <w:color w:val="171717"/>
          <w:sz w:val="20"/>
          <w:szCs w:val="20"/>
        </w:rPr>
      </w:pPr>
    </w:p>
    <w:p w14:paraId="588553ED" w14:textId="0DF189A9" w:rsidR="00174DD7" w:rsidRDefault="00174DD7" w:rsidP="00BA56A2">
      <w:pPr>
        <w:rPr>
          <w:rFonts w:ascii="Arial" w:hAnsi="Arial" w:cs="Arial"/>
          <w:color w:val="171717"/>
          <w:sz w:val="20"/>
          <w:szCs w:val="20"/>
        </w:rPr>
      </w:pPr>
    </w:p>
    <w:p w14:paraId="063AD4B7" w14:textId="19FF2C6D" w:rsidR="00174DD7" w:rsidRDefault="00174DD7" w:rsidP="00BA56A2">
      <w:pPr>
        <w:rPr>
          <w:rFonts w:ascii="Arial" w:hAnsi="Arial" w:cs="Arial"/>
          <w:color w:val="171717"/>
          <w:sz w:val="20"/>
          <w:szCs w:val="20"/>
        </w:rPr>
      </w:pPr>
    </w:p>
    <w:p w14:paraId="6D58110F" w14:textId="669366E1" w:rsidR="00174DD7" w:rsidRDefault="00174DD7" w:rsidP="00BA56A2">
      <w:pPr>
        <w:rPr>
          <w:rFonts w:ascii="Arial" w:hAnsi="Arial" w:cs="Arial"/>
          <w:color w:val="171717"/>
          <w:sz w:val="20"/>
          <w:szCs w:val="20"/>
        </w:rPr>
      </w:pPr>
    </w:p>
    <w:p w14:paraId="3FDEBE73" w14:textId="5F3D0D27" w:rsidR="00174DD7" w:rsidRDefault="00174DD7" w:rsidP="00BA56A2">
      <w:pPr>
        <w:rPr>
          <w:rFonts w:ascii="Arial" w:hAnsi="Arial" w:cs="Arial"/>
          <w:color w:val="171717"/>
          <w:sz w:val="20"/>
          <w:szCs w:val="20"/>
        </w:rPr>
      </w:pPr>
    </w:p>
    <w:p w14:paraId="442E8708" w14:textId="47FF0D08" w:rsidR="00174DD7" w:rsidRDefault="00174DD7" w:rsidP="00BA56A2">
      <w:pPr>
        <w:rPr>
          <w:rFonts w:ascii="Arial" w:hAnsi="Arial" w:cs="Arial"/>
          <w:color w:val="171717"/>
          <w:sz w:val="20"/>
          <w:szCs w:val="20"/>
        </w:rPr>
      </w:pPr>
    </w:p>
    <w:p w14:paraId="1EA3BE8E" w14:textId="0AD20E7A" w:rsidR="00174DD7" w:rsidRDefault="00174DD7" w:rsidP="00BA56A2">
      <w:pPr>
        <w:rPr>
          <w:rFonts w:ascii="Arial" w:hAnsi="Arial" w:cs="Arial"/>
          <w:color w:val="171717"/>
          <w:sz w:val="20"/>
          <w:szCs w:val="20"/>
        </w:rPr>
      </w:pPr>
    </w:p>
    <w:p w14:paraId="37821D56" w14:textId="15AC3CDE" w:rsidR="00174DD7" w:rsidRDefault="00174DD7" w:rsidP="00BA56A2">
      <w:pPr>
        <w:rPr>
          <w:rFonts w:ascii="Arial" w:hAnsi="Arial" w:cs="Arial"/>
          <w:color w:val="171717"/>
          <w:sz w:val="20"/>
          <w:szCs w:val="20"/>
        </w:rPr>
      </w:pPr>
    </w:p>
    <w:p w14:paraId="0BA7D536" w14:textId="40AB33D0" w:rsidR="00174DD7" w:rsidRDefault="00174DD7" w:rsidP="00BA56A2">
      <w:pPr>
        <w:rPr>
          <w:rFonts w:ascii="Arial" w:hAnsi="Arial" w:cs="Arial"/>
          <w:color w:val="171717"/>
          <w:sz w:val="20"/>
          <w:szCs w:val="20"/>
        </w:rPr>
      </w:pPr>
    </w:p>
    <w:p w14:paraId="02EF7913" w14:textId="38047E75" w:rsidR="00174DD7" w:rsidRDefault="00174DD7" w:rsidP="00BA56A2">
      <w:pPr>
        <w:rPr>
          <w:rFonts w:ascii="Arial" w:hAnsi="Arial" w:cs="Arial"/>
          <w:color w:val="171717"/>
          <w:sz w:val="20"/>
          <w:szCs w:val="20"/>
        </w:rPr>
      </w:pPr>
    </w:p>
    <w:p w14:paraId="1F741CF5" w14:textId="4487B44D" w:rsidR="00174DD7" w:rsidRDefault="00174DD7" w:rsidP="00BA56A2">
      <w:pPr>
        <w:rPr>
          <w:rFonts w:ascii="Arial" w:hAnsi="Arial" w:cs="Arial"/>
          <w:color w:val="171717"/>
          <w:sz w:val="20"/>
          <w:szCs w:val="20"/>
        </w:rPr>
      </w:pPr>
    </w:p>
    <w:p w14:paraId="251CCAE3" w14:textId="5CA022EE" w:rsidR="00174DD7" w:rsidRDefault="00174DD7" w:rsidP="00BA56A2">
      <w:pPr>
        <w:rPr>
          <w:rFonts w:ascii="Arial" w:hAnsi="Arial" w:cs="Arial"/>
          <w:color w:val="171717"/>
          <w:sz w:val="20"/>
          <w:szCs w:val="20"/>
        </w:rPr>
      </w:pPr>
    </w:p>
    <w:p w14:paraId="0668F4B5" w14:textId="03807AFB" w:rsidR="00174DD7" w:rsidRDefault="00174DD7" w:rsidP="00BA56A2">
      <w:pPr>
        <w:rPr>
          <w:rFonts w:ascii="Arial" w:hAnsi="Arial" w:cs="Arial"/>
          <w:color w:val="171717"/>
          <w:sz w:val="20"/>
          <w:szCs w:val="20"/>
        </w:rPr>
      </w:pPr>
    </w:p>
    <w:p w14:paraId="72FA9DA3" w14:textId="137E67BC" w:rsidR="00174DD7" w:rsidRDefault="00174DD7" w:rsidP="00BA56A2">
      <w:pPr>
        <w:rPr>
          <w:rFonts w:ascii="Arial" w:hAnsi="Arial" w:cs="Arial"/>
          <w:color w:val="171717"/>
          <w:sz w:val="20"/>
          <w:szCs w:val="20"/>
        </w:rPr>
      </w:pPr>
    </w:p>
    <w:p w14:paraId="735E51F7" w14:textId="047B5331" w:rsidR="00174DD7" w:rsidRDefault="00174DD7" w:rsidP="00BA56A2">
      <w:pPr>
        <w:rPr>
          <w:rFonts w:ascii="Arial" w:hAnsi="Arial" w:cs="Arial"/>
          <w:color w:val="171717"/>
          <w:sz w:val="20"/>
          <w:szCs w:val="20"/>
        </w:rPr>
      </w:pPr>
    </w:p>
    <w:p w14:paraId="0A3325FE" w14:textId="674534AC" w:rsidR="00174DD7" w:rsidRDefault="00174DD7" w:rsidP="00BA56A2">
      <w:pPr>
        <w:rPr>
          <w:rFonts w:ascii="Arial" w:hAnsi="Arial" w:cs="Arial"/>
          <w:color w:val="171717"/>
          <w:sz w:val="20"/>
          <w:szCs w:val="20"/>
        </w:rPr>
      </w:pPr>
    </w:p>
    <w:p w14:paraId="65029B8D" w14:textId="30164DBC" w:rsidR="00174DD7" w:rsidRDefault="00174DD7" w:rsidP="00BA56A2">
      <w:pPr>
        <w:rPr>
          <w:rFonts w:ascii="Arial" w:hAnsi="Arial" w:cs="Arial"/>
          <w:color w:val="171717"/>
          <w:sz w:val="20"/>
          <w:szCs w:val="20"/>
        </w:rPr>
      </w:pPr>
    </w:p>
    <w:p w14:paraId="62B0F325" w14:textId="396CC814" w:rsidR="00174DD7" w:rsidRDefault="00174DD7" w:rsidP="00BA56A2">
      <w:pPr>
        <w:rPr>
          <w:rFonts w:ascii="Arial" w:hAnsi="Arial" w:cs="Arial"/>
          <w:color w:val="171717"/>
          <w:sz w:val="20"/>
          <w:szCs w:val="20"/>
        </w:rPr>
      </w:pPr>
    </w:p>
    <w:p w14:paraId="1D4487DA" w14:textId="691C6ED7" w:rsidR="00174DD7" w:rsidRDefault="00174DD7" w:rsidP="00BA56A2">
      <w:pPr>
        <w:rPr>
          <w:rFonts w:ascii="Arial" w:hAnsi="Arial" w:cs="Arial"/>
          <w:color w:val="171717"/>
          <w:sz w:val="20"/>
          <w:szCs w:val="20"/>
        </w:rPr>
      </w:pPr>
    </w:p>
    <w:p w14:paraId="02D5143D" w14:textId="43760B60" w:rsidR="00174DD7" w:rsidRDefault="00174DD7" w:rsidP="00BA56A2">
      <w:pPr>
        <w:rPr>
          <w:rFonts w:ascii="Arial" w:hAnsi="Arial" w:cs="Arial"/>
          <w:color w:val="171717"/>
          <w:sz w:val="20"/>
          <w:szCs w:val="20"/>
        </w:rPr>
      </w:pPr>
    </w:p>
    <w:p w14:paraId="229F49F4" w14:textId="53E4EB95" w:rsidR="00174DD7" w:rsidRDefault="00174DD7" w:rsidP="00BA56A2">
      <w:pPr>
        <w:rPr>
          <w:rFonts w:ascii="Arial" w:hAnsi="Arial" w:cs="Arial"/>
          <w:color w:val="171717"/>
          <w:sz w:val="20"/>
          <w:szCs w:val="20"/>
        </w:rPr>
      </w:pPr>
    </w:p>
    <w:p w14:paraId="102E9A15" w14:textId="66D9E122" w:rsidR="00174DD7" w:rsidRDefault="00174DD7" w:rsidP="00BA56A2">
      <w:pPr>
        <w:rPr>
          <w:rFonts w:ascii="Arial" w:hAnsi="Arial" w:cs="Arial"/>
          <w:color w:val="171717"/>
          <w:sz w:val="20"/>
          <w:szCs w:val="20"/>
        </w:rPr>
      </w:pPr>
    </w:p>
    <w:p w14:paraId="4F9EB675" w14:textId="16CA8FEE" w:rsidR="00174DD7" w:rsidRDefault="00174DD7" w:rsidP="00BA56A2">
      <w:pPr>
        <w:rPr>
          <w:rFonts w:ascii="Arial" w:hAnsi="Arial" w:cs="Arial"/>
          <w:color w:val="171717"/>
          <w:sz w:val="20"/>
          <w:szCs w:val="20"/>
        </w:rPr>
      </w:pPr>
    </w:p>
    <w:p w14:paraId="740066BD" w14:textId="4E72533A" w:rsidR="00174DD7" w:rsidRDefault="00174DD7" w:rsidP="00BA56A2">
      <w:pPr>
        <w:rPr>
          <w:rFonts w:ascii="Arial" w:hAnsi="Arial" w:cs="Arial"/>
          <w:color w:val="171717"/>
          <w:sz w:val="20"/>
          <w:szCs w:val="20"/>
        </w:rPr>
      </w:pPr>
    </w:p>
    <w:p w14:paraId="12EFA793" w14:textId="0EFC5B2B" w:rsidR="00174DD7" w:rsidRDefault="00174DD7" w:rsidP="00BA56A2">
      <w:pPr>
        <w:rPr>
          <w:rFonts w:ascii="Arial" w:hAnsi="Arial" w:cs="Arial"/>
          <w:color w:val="171717"/>
          <w:sz w:val="20"/>
          <w:szCs w:val="20"/>
        </w:rPr>
      </w:pPr>
    </w:p>
    <w:p w14:paraId="02422CE8" w14:textId="3FC1812B" w:rsidR="00174DD7" w:rsidRDefault="00174DD7" w:rsidP="00BA56A2">
      <w:pPr>
        <w:rPr>
          <w:rFonts w:ascii="Arial" w:hAnsi="Arial" w:cs="Arial"/>
          <w:color w:val="171717"/>
          <w:sz w:val="20"/>
          <w:szCs w:val="20"/>
        </w:rPr>
      </w:pPr>
    </w:p>
    <w:p w14:paraId="7D8533FF" w14:textId="7A28CB9F" w:rsidR="00174DD7" w:rsidRDefault="00174DD7" w:rsidP="00BA56A2">
      <w:pPr>
        <w:rPr>
          <w:rFonts w:ascii="Arial" w:hAnsi="Arial" w:cs="Arial"/>
          <w:color w:val="171717"/>
          <w:sz w:val="20"/>
          <w:szCs w:val="20"/>
        </w:rPr>
      </w:pPr>
    </w:p>
    <w:p w14:paraId="0A189B0F" w14:textId="6D015182" w:rsidR="00174DD7" w:rsidRDefault="00174DD7" w:rsidP="00BA56A2">
      <w:pPr>
        <w:rPr>
          <w:rFonts w:ascii="Arial" w:hAnsi="Arial" w:cs="Arial"/>
          <w:color w:val="171717"/>
          <w:sz w:val="20"/>
          <w:szCs w:val="20"/>
        </w:rPr>
      </w:pPr>
    </w:p>
    <w:p w14:paraId="66A0D7DE" w14:textId="4386525D" w:rsidR="00174DD7" w:rsidRDefault="00174DD7" w:rsidP="00BA56A2">
      <w:pPr>
        <w:rPr>
          <w:rFonts w:ascii="Arial" w:hAnsi="Arial" w:cs="Arial"/>
          <w:color w:val="171717"/>
          <w:sz w:val="20"/>
          <w:szCs w:val="20"/>
        </w:rPr>
      </w:pPr>
    </w:p>
    <w:p w14:paraId="13129726" w14:textId="4B3D4CB8" w:rsidR="00174DD7" w:rsidRDefault="00174DD7" w:rsidP="00BA56A2">
      <w:pPr>
        <w:rPr>
          <w:rFonts w:ascii="Arial" w:hAnsi="Arial" w:cs="Arial"/>
          <w:color w:val="171717"/>
          <w:sz w:val="20"/>
          <w:szCs w:val="20"/>
        </w:rPr>
      </w:pPr>
    </w:p>
    <w:p w14:paraId="09B5065D" w14:textId="00C1D742" w:rsidR="00174DD7" w:rsidRDefault="00174DD7" w:rsidP="00BA56A2">
      <w:pPr>
        <w:rPr>
          <w:rFonts w:ascii="Arial" w:hAnsi="Arial" w:cs="Arial"/>
          <w:color w:val="171717"/>
          <w:sz w:val="20"/>
          <w:szCs w:val="20"/>
        </w:rPr>
      </w:pPr>
    </w:p>
    <w:p w14:paraId="276BBEAB" w14:textId="13035F94" w:rsidR="00174DD7" w:rsidRDefault="00AF7552" w:rsidP="00BA56A2">
      <w:pPr>
        <w:rPr>
          <w:rFonts w:ascii="Arial" w:hAnsi="Arial" w:cs="Arial"/>
          <w:color w:val="171717"/>
          <w:sz w:val="20"/>
          <w:szCs w:val="20"/>
        </w:rPr>
      </w:pPr>
      <w:r w:rsidRPr="00AF7552">
        <w:rPr>
          <w:rFonts w:ascii="Arial" w:hAnsi="Arial" w:cs="Arial"/>
          <w:color w:val="171717"/>
          <w:sz w:val="20"/>
          <w:szCs w:val="20"/>
        </w:rPr>
        <w:lastRenderedPageBreak/>
        <w:drawing>
          <wp:inline distT="0" distB="0" distL="0" distR="0" wp14:anchorId="03765FB6" wp14:editId="7C12814B">
            <wp:extent cx="6858000" cy="766381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0"/>
                    <a:stretch>
                      <a:fillRect/>
                    </a:stretch>
                  </pic:blipFill>
                  <pic:spPr>
                    <a:xfrm>
                      <a:off x="0" y="0"/>
                      <a:ext cx="6858000" cy="7663815"/>
                    </a:xfrm>
                    <a:prstGeom prst="rect">
                      <a:avLst/>
                    </a:prstGeom>
                  </pic:spPr>
                </pic:pic>
              </a:graphicData>
            </a:graphic>
          </wp:inline>
        </w:drawing>
      </w:r>
    </w:p>
    <w:p w14:paraId="6B84C5A1" w14:textId="5F9EA51A" w:rsidR="00174DD7" w:rsidRDefault="00174DD7" w:rsidP="00BA56A2">
      <w:pPr>
        <w:rPr>
          <w:rFonts w:ascii="Arial" w:hAnsi="Arial" w:cs="Arial"/>
          <w:color w:val="171717"/>
          <w:sz w:val="20"/>
          <w:szCs w:val="20"/>
        </w:rPr>
      </w:pPr>
    </w:p>
    <w:p w14:paraId="6430BAC6" w14:textId="3C7A2016" w:rsidR="00174DD7" w:rsidRDefault="00174DD7" w:rsidP="00BA56A2">
      <w:pPr>
        <w:rPr>
          <w:rFonts w:ascii="Arial" w:hAnsi="Arial" w:cs="Arial"/>
          <w:color w:val="171717"/>
          <w:sz w:val="20"/>
          <w:szCs w:val="20"/>
        </w:rPr>
      </w:pPr>
    </w:p>
    <w:p w14:paraId="342DC3E2" w14:textId="5AC09169" w:rsidR="00174DD7" w:rsidRDefault="00174DD7" w:rsidP="00BA56A2">
      <w:pPr>
        <w:rPr>
          <w:rFonts w:ascii="Arial" w:hAnsi="Arial" w:cs="Arial"/>
          <w:color w:val="171717"/>
          <w:sz w:val="20"/>
          <w:szCs w:val="20"/>
        </w:rPr>
      </w:pPr>
    </w:p>
    <w:p w14:paraId="289760F5" w14:textId="526F5B7D" w:rsidR="00174DD7" w:rsidRDefault="00174DD7" w:rsidP="00BA56A2">
      <w:pPr>
        <w:rPr>
          <w:rFonts w:ascii="Arial" w:hAnsi="Arial" w:cs="Arial"/>
          <w:color w:val="171717"/>
          <w:sz w:val="20"/>
          <w:szCs w:val="20"/>
        </w:rPr>
      </w:pPr>
    </w:p>
    <w:p w14:paraId="1515A500" w14:textId="7A67BBA0" w:rsidR="00174DD7" w:rsidRDefault="00174DD7" w:rsidP="00BA56A2">
      <w:pPr>
        <w:rPr>
          <w:rFonts w:ascii="Arial" w:hAnsi="Arial" w:cs="Arial"/>
          <w:color w:val="171717"/>
          <w:sz w:val="20"/>
          <w:szCs w:val="20"/>
        </w:rPr>
      </w:pPr>
    </w:p>
    <w:p w14:paraId="7895E607" w14:textId="29A692F4" w:rsidR="00174DD7" w:rsidRDefault="00174DD7" w:rsidP="00BA56A2">
      <w:pPr>
        <w:rPr>
          <w:rFonts w:ascii="Arial" w:hAnsi="Arial" w:cs="Arial"/>
          <w:color w:val="171717"/>
          <w:sz w:val="20"/>
          <w:szCs w:val="20"/>
        </w:rPr>
      </w:pPr>
    </w:p>
    <w:p w14:paraId="76607095" w14:textId="6CCBEB14" w:rsidR="00174DD7" w:rsidRDefault="00174DD7" w:rsidP="00BA56A2">
      <w:pPr>
        <w:rPr>
          <w:rFonts w:ascii="Arial" w:hAnsi="Arial" w:cs="Arial"/>
          <w:color w:val="171717"/>
          <w:sz w:val="20"/>
          <w:szCs w:val="20"/>
        </w:rPr>
      </w:pPr>
    </w:p>
    <w:p w14:paraId="66064E48" w14:textId="1AF60F47" w:rsidR="00174DD7" w:rsidRDefault="00174DD7" w:rsidP="00BA56A2">
      <w:pPr>
        <w:rPr>
          <w:rFonts w:ascii="Arial" w:hAnsi="Arial" w:cs="Arial"/>
          <w:color w:val="171717"/>
          <w:sz w:val="20"/>
          <w:szCs w:val="20"/>
        </w:rPr>
      </w:pPr>
    </w:p>
    <w:p w14:paraId="6CB4D894" w14:textId="70E59209" w:rsidR="00174DD7" w:rsidRDefault="00174DD7" w:rsidP="00BA56A2">
      <w:pPr>
        <w:rPr>
          <w:rFonts w:ascii="Arial" w:hAnsi="Arial" w:cs="Arial"/>
          <w:color w:val="171717"/>
          <w:sz w:val="20"/>
          <w:szCs w:val="20"/>
        </w:rPr>
      </w:pPr>
    </w:p>
    <w:p w14:paraId="32204F3E" w14:textId="1C8CCDA0" w:rsidR="00174DD7" w:rsidRDefault="00174DD7" w:rsidP="00BA56A2">
      <w:pPr>
        <w:rPr>
          <w:rFonts w:ascii="Arial" w:hAnsi="Arial" w:cs="Arial"/>
          <w:color w:val="171717"/>
          <w:sz w:val="20"/>
          <w:szCs w:val="20"/>
        </w:rPr>
      </w:pPr>
    </w:p>
    <w:p w14:paraId="60B92D45" w14:textId="3B0A881C" w:rsidR="00174DD7" w:rsidRDefault="00174DD7" w:rsidP="00BA56A2">
      <w:pPr>
        <w:rPr>
          <w:rFonts w:ascii="Arial" w:hAnsi="Arial" w:cs="Arial"/>
          <w:color w:val="171717"/>
          <w:sz w:val="20"/>
          <w:szCs w:val="20"/>
        </w:rPr>
      </w:pPr>
    </w:p>
    <w:p w14:paraId="1E145E0F" w14:textId="0E692EA8" w:rsidR="00174DD7" w:rsidRDefault="00174DD7" w:rsidP="00BA56A2">
      <w:pPr>
        <w:rPr>
          <w:rFonts w:ascii="Arial" w:hAnsi="Arial" w:cs="Arial"/>
          <w:color w:val="171717"/>
          <w:sz w:val="20"/>
          <w:szCs w:val="20"/>
        </w:rPr>
      </w:pPr>
    </w:p>
    <w:p w14:paraId="742FA843" w14:textId="63570C3F" w:rsidR="00174DD7" w:rsidRDefault="00174DD7" w:rsidP="00BA56A2">
      <w:pPr>
        <w:rPr>
          <w:rFonts w:ascii="Arial" w:hAnsi="Arial" w:cs="Arial"/>
          <w:color w:val="171717"/>
          <w:sz w:val="20"/>
          <w:szCs w:val="20"/>
        </w:rPr>
      </w:pPr>
    </w:p>
    <w:p w14:paraId="1D7DBB1C" w14:textId="7B7FDC10" w:rsidR="00174DD7" w:rsidRDefault="00174DD7" w:rsidP="00BA56A2">
      <w:pPr>
        <w:rPr>
          <w:rFonts w:ascii="Arial" w:hAnsi="Arial" w:cs="Arial"/>
          <w:color w:val="171717"/>
          <w:sz w:val="20"/>
          <w:szCs w:val="20"/>
        </w:rPr>
      </w:pPr>
    </w:p>
    <w:p w14:paraId="32D05484" w14:textId="7D472351" w:rsidR="00174DD7" w:rsidRDefault="00174DD7" w:rsidP="00BA56A2">
      <w:pPr>
        <w:rPr>
          <w:rFonts w:ascii="Arial" w:hAnsi="Arial" w:cs="Arial"/>
          <w:color w:val="171717"/>
          <w:sz w:val="20"/>
          <w:szCs w:val="20"/>
        </w:rPr>
      </w:pPr>
    </w:p>
    <w:p w14:paraId="2D22D2B0" w14:textId="2BF971F2" w:rsidR="00174DD7" w:rsidRDefault="00174DD7" w:rsidP="00BA56A2">
      <w:pPr>
        <w:rPr>
          <w:rFonts w:ascii="Arial" w:hAnsi="Arial" w:cs="Arial"/>
          <w:color w:val="171717"/>
          <w:sz w:val="20"/>
          <w:szCs w:val="20"/>
        </w:rPr>
      </w:pPr>
    </w:p>
    <w:p w14:paraId="1B9519BF" w14:textId="77777777" w:rsidR="00174DD7" w:rsidRDefault="00174DD7" w:rsidP="00BA56A2">
      <w:pPr>
        <w:rPr>
          <w:rFonts w:ascii="Arial" w:hAnsi="Arial" w:cs="Arial"/>
          <w:color w:val="171717"/>
          <w:sz w:val="20"/>
          <w:szCs w:val="20"/>
        </w:rPr>
      </w:pPr>
    </w:p>
    <w:p w14:paraId="4B2163BC" w14:textId="7F40960A" w:rsidR="001405A0" w:rsidRDefault="00AF7552" w:rsidP="009476B7">
      <w:pPr>
        <w:jc w:val="center"/>
        <w:rPr>
          <w:szCs w:val="20"/>
        </w:rPr>
      </w:pPr>
      <w:r w:rsidRPr="00AF7552">
        <w:rPr>
          <w:szCs w:val="20"/>
        </w:rPr>
        <w:drawing>
          <wp:inline distT="0" distB="0" distL="0" distR="0" wp14:anchorId="6BC90480" wp14:editId="6F7DEE23">
            <wp:extent cx="6858000" cy="8037195"/>
            <wp:effectExtent l="0" t="0" r="0" b="1905"/>
            <wp:docPr id="6"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pic:nvPicPr>
                  <pic:blipFill>
                    <a:blip r:embed="rId11"/>
                    <a:stretch>
                      <a:fillRect/>
                    </a:stretch>
                  </pic:blipFill>
                  <pic:spPr>
                    <a:xfrm>
                      <a:off x="0" y="0"/>
                      <a:ext cx="6858000" cy="8037195"/>
                    </a:xfrm>
                    <a:prstGeom prst="rect">
                      <a:avLst/>
                    </a:prstGeom>
                  </pic:spPr>
                </pic:pic>
              </a:graphicData>
            </a:graphic>
          </wp:inline>
        </w:drawing>
      </w:r>
      <w:r w:rsidR="004468DE">
        <w:rPr>
          <w:szCs w:val="20"/>
        </w:rPr>
        <w:br w:type="page"/>
      </w:r>
    </w:p>
    <w:p w14:paraId="499B6B06" w14:textId="5C12E266" w:rsidR="00AF7552" w:rsidRDefault="00AF7552" w:rsidP="009476B7">
      <w:pPr>
        <w:jc w:val="center"/>
        <w:rPr>
          <w:noProof/>
          <w:szCs w:val="20"/>
        </w:rPr>
      </w:pPr>
      <w:r w:rsidRPr="00AF7552">
        <w:rPr>
          <w:noProof/>
          <w:szCs w:val="20"/>
        </w:rPr>
        <w:lastRenderedPageBreak/>
        <w:drawing>
          <wp:inline distT="0" distB="0" distL="0" distR="0" wp14:anchorId="5B8457CB" wp14:editId="5E782E1F">
            <wp:extent cx="6858000" cy="7042150"/>
            <wp:effectExtent l="0" t="0" r="0" b="635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2"/>
                    <a:stretch>
                      <a:fillRect/>
                    </a:stretch>
                  </pic:blipFill>
                  <pic:spPr>
                    <a:xfrm>
                      <a:off x="0" y="0"/>
                      <a:ext cx="6858000" cy="7042150"/>
                    </a:xfrm>
                    <a:prstGeom prst="rect">
                      <a:avLst/>
                    </a:prstGeom>
                  </pic:spPr>
                </pic:pic>
              </a:graphicData>
            </a:graphic>
          </wp:inline>
        </w:drawing>
      </w:r>
    </w:p>
    <w:p w14:paraId="461B8A45" w14:textId="5AE7CA73" w:rsidR="001405A0" w:rsidRDefault="00AF7552" w:rsidP="009476B7">
      <w:pPr>
        <w:jc w:val="center"/>
        <w:rPr>
          <w:szCs w:val="20"/>
        </w:rPr>
      </w:pPr>
      <w:r w:rsidRPr="00AF7552">
        <w:rPr>
          <w:szCs w:val="20"/>
        </w:rPr>
        <w:lastRenderedPageBreak/>
        <w:drawing>
          <wp:inline distT="0" distB="0" distL="0" distR="0" wp14:anchorId="094E75D2" wp14:editId="3F3057D6">
            <wp:extent cx="6858000" cy="7420610"/>
            <wp:effectExtent l="0" t="0" r="0" b="889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3"/>
                    <a:stretch>
                      <a:fillRect/>
                    </a:stretch>
                  </pic:blipFill>
                  <pic:spPr>
                    <a:xfrm>
                      <a:off x="0" y="0"/>
                      <a:ext cx="6858000" cy="7420610"/>
                    </a:xfrm>
                    <a:prstGeom prst="rect">
                      <a:avLst/>
                    </a:prstGeom>
                  </pic:spPr>
                </pic:pic>
              </a:graphicData>
            </a:graphic>
          </wp:inline>
        </w:drawing>
      </w:r>
    </w:p>
    <w:p w14:paraId="38AAF20F" w14:textId="49EF8BF6" w:rsidR="001405A0" w:rsidRDefault="001405A0" w:rsidP="009476B7">
      <w:pPr>
        <w:jc w:val="center"/>
        <w:rPr>
          <w:szCs w:val="20"/>
        </w:rPr>
      </w:pPr>
    </w:p>
    <w:p w14:paraId="3EC36027" w14:textId="432DE1FE" w:rsidR="001405A0" w:rsidRDefault="001405A0" w:rsidP="009C0D9F">
      <w:pPr>
        <w:rPr>
          <w:szCs w:val="20"/>
        </w:rPr>
      </w:pPr>
    </w:p>
    <w:p w14:paraId="30F7944E" w14:textId="58D129F8" w:rsidR="00CA1170" w:rsidRDefault="00FF4650" w:rsidP="007371BD">
      <w:pPr>
        <w:jc w:val="center"/>
        <w:rPr>
          <w:szCs w:val="20"/>
        </w:rPr>
      </w:pPr>
      <w:r>
        <w:rPr>
          <w:szCs w:val="20"/>
        </w:rPr>
        <w:br w:type="page"/>
      </w:r>
      <w:r w:rsidR="00C816EA" w:rsidRPr="00C816EA">
        <w:rPr>
          <w:noProof/>
          <w:szCs w:val="20"/>
        </w:rPr>
        <w:lastRenderedPageBreak/>
        <w:drawing>
          <wp:inline distT="0" distB="0" distL="0" distR="0" wp14:anchorId="4BB34B62" wp14:editId="385FD3D5">
            <wp:extent cx="6134956" cy="7954485"/>
            <wp:effectExtent l="0" t="0" r="0" b="889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4"/>
                    <a:stretch>
                      <a:fillRect/>
                    </a:stretch>
                  </pic:blipFill>
                  <pic:spPr>
                    <a:xfrm>
                      <a:off x="0" y="0"/>
                      <a:ext cx="6134956" cy="7954485"/>
                    </a:xfrm>
                    <a:prstGeom prst="rect">
                      <a:avLst/>
                    </a:prstGeom>
                  </pic:spPr>
                </pic:pic>
              </a:graphicData>
            </a:graphic>
          </wp:inline>
        </w:drawing>
      </w:r>
      <w:r w:rsidR="008F4763">
        <w:rPr>
          <w:szCs w:val="20"/>
        </w:rPr>
        <w:br w:type="page"/>
      </w:r>
      <w:r w:rsidR="00C816EA" w:rsidRPr="00C816EA">
        <w:rPr>
          <w:noProof/>
          <w:szCs w:val="20"/>
        </w:rPr>
        <w:lastRenderedPageBreak/>
        <w:drawing>
          <wp:inline distT="0" distB="0" distL="0" distR="0" wp14:anchorId="05092BBB" wp14:editId="4BDF569C">
            <wp:extent cx="6020640" cy="7544853"/>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stretch>
                      <a:fillRect/>
                    </a:stretch>
                  </pic:blipFill>
                  <pic:spPr>
                    <a:xfrm>
                      <a:off x="0" y="0"/>
                      <a:ext cx="6020640" cy="7544853"/>
                    </a:xfrm>
                    <a:prstGeom prst="rect">
                      <a:avLst/>
                    </a:prstGeom>
                  </pic:spPr>
                </pic:pic>
              </a:graphicData>
            </a:graphic>
          </wp:inline>
        </w:drawing>
      </w:r>
      <w:r w:rsidR="00311207" w:rsidRPr="00311207">
        <w:rPr>
          <w:noProof/>
          <w:szCs w:val="20"/>
        </w:rPr>
        <w:lastRenderedPageBreak/>
        <w:drawing>
          <wp:inline distT="0" distB="0" distL="0" distR="0" wp14:anchorId="4C7D78DC" wp14:editId="0B2239FB">
            <wp:extent cx="6049219" cy="7887801"/>
            <wp:effectExtent l="0" t="0" r="889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6"/>
                    <a:stretch>
                      <a:fillRect/>
                    </a:stretch>
                  </pic:blipFill>
                  <pic:spPr>
                    <a:xfrm>
                      <a:off x="0" y="0"/>
                      <a:ext cx="6049219" cy="7887801"/>
                    </a:xfrm>
                    <a:prstGeom prst="rect">
                      <a:avLst/>
                    </a:prstGeom>
                  </pic:spPr>
                </pic:pic>
              </a:graphicData>
            </a:graphic>
          </wp:inline>
        </w:drawing>
      </w:r>
      <w:r w:rsidR="008F4763">
        <w:rPr>
          <w:szCs w:val="20"/>
        </w:rPr>
        <w:br w:type="page"/>
      </w:r>
    </w:p>
    <w:p w14:paraId="250146AF" w14:textId="77777777" w:rsidR="00915A1F" w:rsidRDefault="00915A1F" w:rsidP="007371BD">
      <w:pPr>
        <w:jc w:val="center"/>
        <w:rPr>
          <w:szCs w:val="20"/>
        </w:rPr>
      </w:pPr>
    </w:p>
    <w:p w14:paraId="2FF20689" w14:textId="3C153174" w:rsidR="00C816EA" w:rsidRDefault="00AF7552" w:rsidP="00E4527A">
      <w:pPr>
        <w:jc w:val="center"/>
        <w:rPr>
          <w:szCs w:val="20"/>
        </w:rPr>
      </w:pPr>
      <w:r w:rsidRPr="00AF7552">
        <w:rPr>
          <w:szCs w:val="20"/>
        </w:rPr>
        <w:drawing>
          <wp:inline distT="0" distB="0" distL="0" distR="0" wp14:anchorId="1416FEDE" wp14:editId="71CE0DCC">
            <wp:extent cx="6858000" cy="7582535"/>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7"/>
                    <a:stretch>
                      <a:fillRect/>
                    </a:stretch>
                  </pic:blipFill>
                  <pic:spPr>
                    <a:xfrm>
                      <a:off x="0" y="0"/>
                      <a:ext cx="6858000" cy="7582535"/>
                    </a:xfrm>
                    <a:prstGeom prst="rect">
                      <a:avLst/>
                    </a:prstGeom>
                  </pic:spPr>
                </pic:pic>
              </a:graphicData>
            </a:graphic>
          </wp:inline>
        </w:drawing>
      </w:r>
    </w:p>
    <w:p w14:paraId="35B80105" w14:textId="77777777" w:rsidR="00C816EA" w:rsidRDefault="00C816EA" w:rsidP="00E4527A">
      <w:pPr>
        <w:jc w:val="center"/>
        <w:rPr>
          <w:szCs w:val="20"/>
        </w:rPr>
      </w:pPr>
    </w:p>
    <w:p w14:paraId="38DFDE41" w14:textId="77777777" w:rsidR="00C816EA" w:rsidRDefault="00C816EA" w:rsidP="00E4527A">
      <w:pPr>
        <w:jc w:val="center"/>
        <w:rPr>
          <w:szCs w:val="20"/>
        </w:rPr>
      </w:pPr>
    </w:p>
    <w:p w14:paraId="5F064A30" w14:textId="77777777" w:rsidR="00C816EA" w:rsidRDefault="00C816EA" w:rsidP="00E4527A">
      <w:pPr>
        <w:jc w:val="center"/>
        <w:rPr>
          <w:szCs w:val="20"/>
        </w:rPr>
      </w:pPr>
    </w:p>
    <w:p w14:paraId="6495EBCE" w14:textId="77777777" w:rsidR="00C816EA" w:rsidRDefault="00C816EA" w:rsidP="00E4527A">
      <w:pPr>
        <w:jc w:val="center"/>
        <w:rPr>
          <w:szCs w:val="20"/>
        </w:rPr>
      </w:pPr>
    </w:p>
    <w:p w14:paraId="75B24C53" w14:textId="77777777" w:rsidR="00C816EA" w:rsidRDefault="00C816EA" w:rsidP="00E4527A">
      <w:pPr>
        <w:jc w:val="center"/>
        <w:rPr>
          <w:szCs w:val="20"/>
        </w:rPr>
      </w:pPr>
    </w:p>
    <w:p w14:paraId="793FCEBC" w14:textId="77777777" w:rsidR="00C816EA" w:rsidRDefault="00C816EA" w:rsidP="00E4527A">
      <w:pPr>
        <w:jc w:val="center"/>
        <w:rPr>
          <w:szCs w:val="20"/>
        </w:rPr>
      </w:pPr>
    </w:p>
    <w:p w14:paraId="12A3FEAA" w14:textId="77777777" w:rsidR="00C816EA" w:rsidRDefault="00C816EA" w:rsidP="00E4527A">
      <w:pPr>
        <w:jc w:val="center"/>
        <w:rPr>
          <w:szCs w:val="20"/>
        </w:rPr>
      </w:pPr>
    </w:p>
    <w:p w14:paraId="5D0112E7" w14:textId="77777777" w:rsidR="00C816EA" w:rsidRDefault="00C816EA" w:rsidP="00E4527A">
      <w:pPr>
        <w:jc w:val="center"/>
        <w:rPr>
          <w:szCs w:val="20"/>
        </w:rPr>
      </w:pPr>
    </w:p>
    <w:p w14:paraId="47C58388" w14:textId="77777777" w:rsidR="00C816EA" w:rsidRDefault="00C816EA" w:rsidP="00E4527A">
      <w:pPr>
        <w:jc w:val="center"/>
        <w:rPr>
          <w:szCs w:val="20"/>
        </w:rPr>
      </w:pPr>
    </w:p>
    <w:p w14:paraId="4FF192D2" w14:textId="77777777" w:rsidR="00C816EA" w:rsidRDefault="00C816EA" w:rsidP="00E4527A">
      <w:pPr>
        <w:jc w:val="center"/>
        <w:rPr>
          <w:szCs w:val="20"/>
        </w:rPr>
      </w:pPr>
    </w:p>
    <w:p w14:paraId="1D53C70E" w14:textId="77777777" w:rsidR="00C816EA" w:rsidRDefault="00C816EA" w:rsidP="00E4527A">
      <w:pPr>
        <w:jc w:val="center"/>
        <w:rPr>
          <w:szCs w:val="20"/>
        </w:rPr>
      </w:pPr>
    </w:p>
    <w:p w14:paraId="7CF83B69" w14:textId="77777777" w:rsidR="00C816EA" w:rsidRDefault="00C816EA" w:rsidP="00E4527A">
      <w:pPr>
        <w:jc w:val="center"/>
        <w:rPr>
          <w:szCs w:val="20"/>
        </w:rPr>
      </w:pPr>
    </w:p>
    <w:p w14:paraId="21000A82" w14:textId="77777777" w:rsidR="00C816EA" w:rsidRDefault="00C816EA" w:rsidP="00E4527A">
      <w:pPr>
        <w:jc w:val="center"/>
        <w:rPr>
          <w:szCs w:val="20"/>
        </w:rPr>
      </w:pPr>
    </w:p>
    <w:p w14:paraId="558E9634" w14:textId="602C34AA" w:rsidR="00915A1F" w:rsidRPr="00E4527A" w:rsidRDefault="00AF7552" w:rsidP="00E4527A">
      <w:pPr>
        <w:jc w:val="center"/>
        <w:rPr>
          <w:szCs w:val="20"/>
        </w:rPr>
      </w:pPr>
      <w:r w:rsidRPr="00AF7552">
        <w:rPr>
          <w:szCs w:val="20"/>
        </w:rPr>
        <w:drawing>
          <wp:inline distT="0" distB="0" distL="0" distR="0" wp14:anchorId="1AED5798" wp14:editId="33447C2C">
            <wp:extent cx="6858000" cy="8057515"/>
            <wp:effectExtent l="0" t="0" r="0" b="63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8"/>
                    <a:stretch>
                      <a:fillRect/>
                    </a:stretch>
                  </pic:blipFill>
                  <pic:spPr>
                    <a:xfrm>
                      <a:off x="0" y="0"/>
                      <a:ext cx="6858000" cy="8057515"/>
                    </a:xfrm>
                    <a:prstGeom prst="rect">
                      <a:avLst/>
                    </a:prstGeom>
                  </pic:spPr>
                </pic:pic>
              </a:graphicData>
            </a:graphic>
          </wp:inline>
        </w:drawing>
      </w:r>
      <w:r w:rsidR="00EF4B2B">
        <w:rPr>
          <w:szCs w:val="20"/>
        </w:rPr>
        <w:br w:type="page"/>
      </w:r>
    </w:p>
    <w:p w14:paraId="5A251B89" w14:textId="22D60C34" w:rsidR="00915A1F" w:rsidRDefault="00B80488" w:rsidP="007371BD">
      <w:pPr>
        <w:jc w:val="center"/>
        <w:rPr>
          <w:szCs w:val="20"/>
        </w:rPr>
      </w:pPr>
      <w:r>
        <w:rPr>
          <w:noProof/>
          <w:szCs w:val="20"/>
        </w:rPr>
        <w:lastRenderedPageBreak/>
        <w:drawing>
          <wp:inline distT="0" distB="0" distL="0" distR="0" wp14:anchorId="08F0B31D" wp14:editId="5F0A2263">
            <wp:extent cx="6848475" cy="4895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8475" cy="4895850"/>
                    </a:xfrm>
                    <a:prstGeom prst="rect">
                      <a:avLst/>
                    </a:prstGeom>
                    <a:noFill/>
                    <a:ln>
                      <a:noFill/>
                    </a:ln>
                  </pic:spPr>
                </pic:pic>
              </a:graphicData>
            </a:graphic>
          </wp:inline>
        </w:drawing>
      </w:r>
    </w:p>
    <w:sectPr w:rsidR="00915A1F" w:rsidSect="00045E0A">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D3FA9"/>
    <w:multiLevelType w:val="hybridMultilevel"/>
    <w:tmpl w:val="C50A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6C6EF8"/>
    <w:multiLevelType w:val="hybridMultilevel"/>
    <w:tmpl w:val="01187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888700D"/>
    <w:multiLevelType w:val="hybridMultilevel"/>
    <w:tmpl w:val="85A814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8962F9A"/>
    <w:multiLevelType w:val="hybridMultilevel"/>
    <w:tmpl w:val="B9FEE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E30B80"/>
    <w:multiLevelType w:val="hybridMultilevel"/>
    <w:tmpl w:val="9C70F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696366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4144212">
    <w:abstractNumId w:val="0"/>
  </w:num>
  <w:num w:numId="3" w16cid:durableId="1212424429">
    <w:abstractNumId w:val="0"/>
  </w:num>
  <w:num w:numId="4" w16cid:durableId="1082794330">
    <w:abstractNumId w:val="0"/>
  </w:num>
  <w:num w:numId="5" w16cid:durableId="1934701932">
    <w:abstractNumId w:val="0"/>
  </w:num>
  <w:num w:numId="6" w16cid:durableId="1663239734">
    <w:abstractNumId w:val="0"/>
  </w:num>
  <w:num w:numId="7" w16cid:durableId="1433361128">
    <w:abstractNumId w:val="0"/>
  </w:num>
  <w:num w:numId="8" w16cid:durableId="270825973">
    <w:abstractNumId w:val="0"/>
  </w:num>
  <w:num w:numId="9" w16cid:durableId="841747522">
    <w:abstractNumId w:val="0"/>
  </w:num>
  <w:num w:numId="10" w16cid:durableId="441920524">
    <w:abstractNumId w:val="0"/>
  </w:num>
  <w:num w:numId="11" w16cid:durableId="1092437402">
    <w:abstractNumId w:val="0"/>
  </w:num>
  <w:num w:numId="12" w16cid:durableId="2045328076">
    <w:abstractNumId w:val="4"/>
  </w:num>
  <w:num w:numId="13" w16cid:durableId="1198280349">
    <w:abstractNumId w:val="0"/>
  </w:num>
  <w:num w:numId="14" w16cid:durableId="1200050773">
    <w:abstractNumId w:val="0"/>
  </w:num>
  <w:num w:numId="15" w16cid:durableId="1170369302">
    <w:abstractNumId w:val="0"/>
  </w:num>
  <w:num w:numId="16" w16cid:durableId="786391695">
    <w:abstractNumId w:val="0"/>
  </w:num>
  <w:num w:numId="17" w16cid:durableId="1543522260">
    <w:abstractNumId w:val="0"/>
  </w:num>
  <w:num w:numId="18" w16cid:durableId="410196061">
    <w:abstractNumId w:val="3"/>
  </w:num>
  <w:num w:numId="19" w16cid:durableId="1026715268">
    <w:abstractNumId w:val="0"/>
  </w:num>
  <w:num w:numId="20" w16cid:durableId="1873228004">
    <w:abstractNumId w:val="0"/>
  </w:num>
  <w:num w:numId="21" w16cid:durableId="756289170">
    <w:abstractNumId w:val="0"/>
  </w:num>
  <w:num w:numId="22" w16cid:durableId="434256950">
    <w:abstractNumId w:val="0"/>
  </w:num>
  <w:num w:numId="23" w16cid:durableId="1820925356">
    <w:abstractNumId w:val="0"/>
  </w:num>
  <w:num w:numId="24" w16cid:durableId="1835681724">
    <w:abstractNumId w:val="0"/>
  </w:num>
  <w:num w:numId="25" w16cid:durableId="38078509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cwNDcxMzU3M7G0NDZW0lEKTi0uzszPAykwNqwFANmngfotAAAA"/>
  </w:docVars>
  <w:rsids>
    <w:rsidRoot w:val="00E6632C"/>
    <w:rsid w:val="00000409"/>
    <w:rsid w:val="0000262E"/>
    <w:rsid w:val="00006482"/>
    <w:rsid w:val="000144C8"/>
    <w:rsid w:val="00014DA8"/>
    <w:rsid w:val="00021A56"/>
    <w:rsid w:val="00021F92"/>
    <w:rsid w:val="00022765"/>
    <w:rsid w:val="00026D96"/>
    <w:rsid w:val="0002720D"/>
    <w:rsid w:val="00027B7A"/>
    <w:rsid w:val="00036EF6"/>
    <w:rsid w:val="000404F2"/>
    <w:rsid w:val="00041308"/>
    <w:rsid w:val="00041E44"/>
    <w:rsid w:val="00042B72"/>
    <w:rsid w:val="00045E0A"/>
    <w:rsid w:val="00053446"/>
    <w:rsid w:val="0005474B"/>
    <w:rsid w:val="00054871"/>
    <w:rsid w:val="00056D70"/>
    <w:rsid w:val="00056E15"/>
    <w:rsid w:val="00056ED0"/>
    <w:rsid w:val="00056FDE"/>
    <w:rsid w:val="000613B4"/>
    <w:rsid w:val="000615D2"/>
    <w:rsid w:val="00066A91"/>
    <w:rsid w:val="000670FC"/>
    <w:rsid w:val="00067243"/>
    <w:rsid w:val="000673E9"/>
    <w:rsid w:val="00067AF7"/>
    <w:rsid w:val="0007006C"/>
    <w:rsid w:val="000709BB"/>
    <w:rsid w:val="00071DB7"/>
    <w:rsid w:val="00071EDD"/>
    <w:rsid w:val="000737B3"/>
    <w:rsid w:val="000750C1"/>
    <w:rsid w:val="00076BF9"/>
    <w:rsid w:val="00077507"/>
    <w:rsid w:val="00086F91"/>
    <w:rsid w:val="00087726"/>
    <w:rsid w:val="00087ECD"/>
    <w:rsid w:val="0009062C"/>
    <w:rsid w:val="00090ECE"/>
    <w:rsid w:val="0009367E"/>
    <w:rsid w:val="0009499C"/>
    <w:rsid w:val="00094B01"/>
    <w:rsid w:val="000A0260"/>
    <w:rsid w:val="000A115C"/>
    <w:rsid w:val="000A1C27"/>
    <w:rsid w:val="000A6E66"/>
    <w:rsid w:val="000A6E81"/>
    <w:rsid w:val="000B2820"/>
    <w:rsid w:val="000B58A0"/>
    <w:rsid w:val="000C0199"/>
    <w:rsid w:val="000C0316"/>
    <w:rsid w:val="000C1D41"/>
    <w:rsid w:val="000C561F"/>
    <w:rsid w:val="000C56F2"/>
    <w:rsid w:val="000C61B7"/>
    <w:rsid w:val="000C6EAF"/>
    <w:rsid w:val="000D03CB"/>
    <w:rsid w:val="000D5A65"/>
    <w:rsid w:val="000D6080"/>
    <w:rsid w:val="000D7E36"/>
    <w:rsid w:val="000E148B"/>
    <w:rsid w:val="000E159E"/>
    <w:rsid w:val="000E22D8"/>
    <w:rsid w:val="000E3860"/>
    <w:rsid w:val="000E4D45"/>
    <w:rsid w:val="000E6A3E"/>
    <w:rsid w:val="000F13FE"/>
    <w:rsid w:val="000F1535"/>
    <w:rsid w:val="000F17FF"/>
    <w:rsid w:val="000F1923"/>
    <w:rsid w:val="0010257D"/>
    <w:rsid w:val="00104425"/>
    <w:rsid w:val="00111718"/>
    <w:rsid w:val="00112148"/>
    <w:rsid w:val="001123AE"/>
    <w:rsid w:val="00112F58"/>
    <w:rsid w:val="001136E9"/>
    <w:rsid w:val="001159D0"/>
    <w:rsid w:val="00115D4E"/>
    <w:rsid w:val="001165A9"/>
    <w:rsid w:val="00120181"/>
    <w:rsid w:val="00120183"/>
    <w:rsid w:val="00121299"/>
    <w:rsid w:val="0012236A"/>
    <w:rsid w:val="00122BB9"/>
    <w:rsid w:val="00123A15"/>
    <w:rsid w:val="001241F6"/>
    <w:rsid w:val="001261A4"/>
    <w:rsid w:val="00126D33"/>
    <w:rsid w:val="00131508"/>
    <w:rsid w:val="00133C61"/>
    <w:rsid w:val="00135023"/>
    <w:rsid w:val="001402CC"/>
    <w:rsid w:val="001405A0"/>
    <w:rsid w:val="00140EB3"/>
    <w:rsid w:val="00141809"/>
    <w:rsid w:val="00143991"/>
    <w:rsid w:val="00144164"/>
    <w:rsid w:val="001479DC"/>
    <w:rsid w:val="0015067D"/>
    <w:rsid w:val="001516FE"/>
    <w:rsid w:val="00152024"/>
    <w:rsid w:val="001534A8"/>
    <w:rsid w:val="001536DF"/>
    <w:rsid w:val="00157219"/>
    <w:rsid w:val="00161D4E"/>
    <w:rsid w:val="00164B65"/>
    <w:rsid w:val="00165B3C"/>
    <w:rsid w:val="0017010E"/>
    <w:rsid w:val="0017049F"/>
    <w:rsid w:val="00170C6E"/>
    <w:rsid w:val="00171614"/>
    <w:rsid w:val="00171A53"/>
    <w:rsid w:val="00174DD7"/>
    <w:rsid w:val="001806E0"/>
    <w:rsid w:val="0018684A"/>
    <w:rsid w:val="00186EC0"/>
    <w:rsid w:val="00187190"/>
    <w:rsid w:val="001938BE"/>
    <w:rsid w:val="00196171"/>
    <w:rsid w:val="00197130"/>
    <w:rsid w:val="00197299"/>
    <w:rsid w:val="00197B57"/>
    <w:rsid w:val="00197E03"/>
    <w:rsid w:val="001A279F"/>
    <w:rsid w:val="001A2D6B"/>
    <w:rsid w:val="001A5A87"/>
    <w:rsid w:val="001A5CAA"/>
    <w:rsid w:val="001A5FC9"/>
    <w:rsid w:val="001B1FFD"/>
    <w:rsid w:val="001B2A79"/>
    <w:rsid w:val="001B4EC8"/>
    <w:rsid w:val="001B5EBB"/>
    <w:rsid w:val="001B6375"/>
    <w:rsid w:val="001C1CCF"/>
    <w:rsid w:val="001C1FFF"/>
    <w:rsid w:val="001C2892"/>
    <w:rsid w:val="001C4E89"/>
    <w:rsid w:val="001C5184"/>
    <w:rsid w:val="001C6439"/>
    <w:rsid w:val="001D0D11"/>
    <w:rsid w:val="001D2CE0"/>
    <w:rsid w:val="001D3F8B"/>
    <w:rsid w:val="001D5CDA"/>
    <w:rsid w:val="001D62AA"/>
    <w:rsid w:val="001E0508"/>
    <w:rsid w:val="001E0576"/>
    <w:rsid w:val="001E10DA"/>
    <w:rsid w:val="001E232A"/>
    <w:rsid w:val="001E2E21"/>
    <w:rsid w:val="001E4845"/>
    <w:rsid w:val="001E7B4F"/>
    <w:rsid w:val="001F2684"/>
    <w:rsid w:val="001F3B4D"/>
    <w:rsid w:val="001F491F"/>
    <w:rsid w:val="001F695E"/>
    <w:rsid w:val="001F7E77"/>
    <w:rsid w:val="00200014"/>
    <w:rsid w:val="002020EB"/>
    <w:rsid w:val="00202126"/>
    <w:rsid w:val="00212163"/>
    <w:rsid w:val="00212CB3"/>
    <w:rsid w:val="00212F76"/>
    <w:rsid w:val="002155F9"/>
    <w:rsid w:val="00220926"/>
    <w:rsid w:val="00220DA6"/>
    <w:rsid w:val="0022213C"/>
    <w:rsid w:val="00222319"/>
    <w:rsid w:val="00227994"/>
    <w:rsid w:val="00233DC1"/>
    <w:rsid w:val="002355FA"/>
    <w:rsid w:val="0023748F"/>
    <w:rsid w:val="002408B3"/>
    <w:rsid w:val="00243146"/>
    <w:rsid w:val="00244492"/>
    <w:rsid w:val="002446D1"/>
    <w:rsid w:val="00247053"/>
    <w:rsid w:val="00250CA6"/>
    <w:rsid w:val="00251C26"/>
    <w:rsid w:val="00252BA8"/>
    <w:rsid w:val="00253793"/>
    <w:rsid w:val="002572F5"/>
    <w:rsid w:val="002602FB"/>
    <w:rsid w:val="00260F3F"/>
    <w:rsid w:val="00262A62"/>
    <w:rsid w:val="002639BF"/>
    <w:rsid w:val="002663C6"/>
    <w:rsid w:val="00270210"/>
    <w:rsid w:val="002711C1"/>
    <w:rsid w:val="002723C9"/>
    <w:rsid w:val="00274016"/>
    <w:rsid w:val="002760F5"/>
    <w:rsid w:val="00277492"/>
    <w:rsid w:val="002776CD"/>
    <w:rsid w:val="00280387"/>
    <w:rsid w:val="00281DDA"/>
    <w:rsid w:val="00282386"/>
    <w:rsid w:val="00285E2A"/>
    <w:rsid w:val="0028601C"/>
    <w:rsid w:val="002877D1"/>
    <w:rsid w:val="00294494"/>
    <w:rsid w:val="00294E31"/>
    <w:rsid w:val="00295472"/>
    <w:rsid w:val="0029690E"/>
    <w:rsid w:val="00297AEA"/>
    <w:rsid w:val="002A1F9C"/>
    <w:rsid w:val="002B0F76"/>
    <w:rsid w:val="002B2761"/>
    <w:rsid w:val="002B3C56"/>
    <w:rsid w:val="002B5593"/>
    <w:rsid w:val="002B72DE"/>
    <w:rsid w:val="002B769E"/>
    <w:rsid w:val="002B7F80"/>
    <w:rsid w:val="002C2621"/>
    <w:rsid w:val="002C2C61"/>
    <w:rsid w:val="002C5243"/>
    <w:rsid w:val="002C5917"/>
    <w:rsid w:val="002C6C14"/>
    <w:rsid w:val="002D0240"/>
    <w:rsid w:val="002D054D"/>
    <w:rsid w:val="002D0854"/>
    <w:rsid w:val="002D4AC7"/>
    <w:rsid w:val="002D5F5E"/>
    <w:rsid w:val="002E1CDA"/>
    <w:rsid w:val="002E5CBD"/>
    <w:rsid w:val="002E6538"/>
    <w:rsid w:val="002E680E"/>
    <w:rsid w:val="002F0A39"/>
    <w:rsid w:val="002F20EC"/>
    <w:rsid w:val="002F46B7"/>
    <w:rsid w:val="002F4F0F"/>
    <w:rsid w:val="003007C2"/>
    <w:rsid w:val="003048A7"/>
    <w:rsid w:val="00304F5F"/>
    <w:rsid w:val="00305B10"/>
    <w:rsid w:val="00306701"/>
    <w:rsid w:val="00306E6E"/>
    <w:rsid w:val="00310434"/>
    <w:rsid w:val="00311207"/>
    <w:rsid w:val="00311D9F"/>
    <w:rsid w:val="00317725"/>
    <w:rsid w:val="00317913"/>
    <w:rsid w:val="003204DC"/>
    <w:rsid w:val="0032458D"/>
    <w:rsid w:val="00326FA6"/>
    <w:rsid w:val="00330DF5"/>
    <w:rsid w:val="00332040"/>
    <w:rsid w:val="00333371"/>
    <w:rsid w:val="00333781"/>
    <w:rsid w:val="00340DD0"/>
    <w:rsid w:val="00341909"/>
    <w:rsid w:val="003429CC"/>
    <w:rsid w:val="00345009"/>
    <w:rsid w:val="0034516A"/>
    <w:rsid w:val="00345EBA"/>
    <w:rsid w:val="0034701F"/>
    <w:rsid w:val="003504DB"/>
    <w:rsid w:val="003529D6"/>
    <w:rsid w:val="00353AB1"/>
    <w:rsid w:val="0035528E"/>
    <w:rsid w:val="00356345"/>
    <w:rsid w:val="0036151C"/>
    <w:rsid w:val="00362106"/>
    <w:rsid w:val="00364AB7"/>
    <w:rsid w:val="003654E8"/>
    <w:rsid w:val="00365B68"/>
    <w:rsid w:val="00365CE3"/>
    <w:rsid w:val="003666A6"/>
    <w:rsid w:val="00367630"/>
    <w:rsid w:val="00374104"/>
    <w:rsid w:val="00375185"/>
    <w:rsid w:val="003771AF"/>
    <w:rsid w:val="00382564"/>
    <w:rsid w:val="00384E3E"/>
    <w:rsid w:val="003855E5"/>
    <w:rsid w:val="00387164"/>
    <w:rsid w:val="003873C5"/>
    <w:rsid w:val="003879A9"/>
    <w:rsid w:val="00392012"/>
    <w:rsid w:val="003920E1"/>
    <w:rsid w:val="00392119"/>
    <w:rsid w:val="003934B3"/>
    <w:rsid w:val="00394375"/>
    <w:rsid w:val="00396B5B"/>
    <w:rsid w:val="00397901"/>
    <w:rsid w:val="003A02A5"/>
    <w:rsid w:val="003A09B1"/>
    <w:rsid w:val="003A48D2"/>
    <w:rsid w:val="003A6381"/>
    <w:rsid w:val="003A663A"/>
    <w:rsid w:val="003B2677"/>
    <w:rsid w:val="003B3948"/>
    <w:rsid w:val="003B3EA7"/>
    <w:rsid w:val="003B3EB7"/>
    <w:rsid w:val="003B557C"/>
    <w:rsid w:val="003B6AEF"/>
    <w:rsid w:val="003B7A1B"/>
    <w:rsid w:val="003C0824"/>
    <w:rsid w:val="003C2E04"/>
    <w:rsid w:val="003C7F21"/>
    <w:rsid w:val="003D0368"/>
    <w:rsid w:val="003D1D50"/>
    <w:rsid w:val="003D3BFA"/>
    <w:rsid w:val="003E1A3C"/>
    <w:rsid w:val="003E31D6"/>
    <w:rsid w:val="003E39F9"/>
    <w:rsid w:val="003E48FD"/>
    <w:rsid w:val="003E5897"/>
    <w:rsid w:val="003E6A43"/>
    <w:rsid w:val="003E6CA0"/>
    <w:rsid w:val="003E79B4"/>
    <w:rsid w:val="003E7B43"/>
    <w:rsid w:val="003F0168"/>
    <w:rsid w:val="003F14CA"/>
    <w:rsid w:val="003F28DC"/>
    <w:rsid w:val="003F2CBF"/>
    <w:rsid w:val="003F2EE4"/>
    <w:rsid w:val="003F445E"/>
    <w:rsid w:val="003F447C"/>
    <w:rsid w:val="003F6A03"/>
    <w:rsid w:val="00401ADC"/>
    <w:rsid w:val="00403CBD"/>
    <w:rsid w:val="00405E5B"/>
    <w:rsid w:val="0040787A"/>
    <w:rsid w:val="00411B77"/>
    <w:rsid w:val="00411B9A"/>
    <w:rsid w:val="00412386"/>
    <w:rsid w:val="0041371A"/>
    <w:rsid w:val="0041491A"/>
    <w:rsid w:val="004155B3"/>
    <w:rsid w:val="0041622F"/>
    <w:rsid w:val="004217D2"/>
    <w:rsid w:val="00422D1B"/>
    <w:rsid w:val="00425388"/>
    <w:rsid w:val="004259CC"/>
    <w:rsid w:val="00426BBB"/>
    <w:rsid w:val="0043061C"/>
    <w:rsid w:val="004323C4"/>
    <w:rsid w:val="00432410"/>
    <w:rsid w:val="0043244F"/>
    <w:rsid w:val="00433A2A"/>
    <w:rsid w:val="00434E7C"/>
    <w:rsid w:val="004427FC"/>
    <w:rsid w:val="004428BD"/>
    <w:rsid w:val="004468DE"/>
    <w:rsid w:val="004470B8"/>
    <w:rsid w:val="004475D6"/>
    <w:rsid w:val="00451EAC"/>
    <w:rsid w:val="004528C0"/>
    <w:rsid w:val="00452E80"/>
    <w:rsid w:val="00453410"/>
    <w:rsid w:val="00453CC2"/>
    <w:rsid w:val="004544B9"/>
    <w:rsid w:val="0045564F"/>
    <w:rsid w:val="00455B88"/>
    <w:rsid w:val="00456ADA"/>
    <w:rsid w:val="004578D1"/>
    <w:rsid w:val="00460427"/>
    <w:rsid w:val="00464024"/>
    <w:rsid w:val="00465376"/>
    <w:rsid w:val="00465A6C"/>
    <w:rsid w:val="0046689B"/>
    <w:rsid w:val="004707F5"/>
    <w:rsid w:val="00470F26"/>
    <w:rsid w:val="0047145B"/>
    <w:rsid w:val="0047362C"/>
    <w:rsid w:val="004745BD"/>
    <w:rsid w:val="004803D8"/>
    <w:rsid w:val="004808A8"/>
    <w:rsid w:val="00484549"/>
    <w:rsid w:val="0048539F"/>
    <w:rsid w:val="00486DC2"/>
    <w:rsid w:val="0049008C"/>
    <w:rsid w:val="00490261"/>
    <w:rsid w:val="0049118B"/>
    <w:rsid w:val="004975AF"/>
    <w:rsid w:val="004A0C66"/>
    <w:rsid w:val="004A13D3"/>
    <w:rsid w:val="004A375D"/>
    <w:rsid w:val="004A5DA1"/>
    <w:rsid w:val="004A6223"/>
    <w:rsid w:val="004B12B3"/>
    <w:rsid w:val="004B31E1"/>
    <w:rsid w:val="004B37E0"/>
    <w:rsid w:val="004B6D64"/>
    <w:rsid w:val="004C134E"/>
    <w:rsid w:val="004C28F6"/>
    <w:rsid w:val="004C2BC1"/>
    <w:rsid w:val="004C3AA4"/>
    <w:rsid w:val="004C479C"/>
    <w:rsid w:val="004C49A1"/>
    <w:rsid w:val="004C5901"/>
    <w:rsid w:val="004C6136"/>
    <w:rsid w:val="004C68A2"/>
    <w:rsid w:val="004D096F"/>
    <w:rsid w:val="004D0A60"/>
    <w:rsid w:val="004D1F6B"/>
    <w:rsid w:val="004D2778"/>
    <w:rsid w:val="004D38DD"/>
    <w:rsid w:val="004D3916"/>
    <w:rsid w:val="004D4D07"/>
    <w:rsid w:val="004D513E"/>
    <w:rsid w:val="004D65F2"/>
    <w:rsid w:val="004D6A5A"/>
    <w:rsid w:val="004E3EA9"/>
    <w:rsid w:val="004F0CE2"/>
    <w:rsid w:val="004F2997"/>
    <w:rsid w:val="004F4B9C"/>
    <w:rsid w:val="005037E4"/>
    <w:rsid w:val="00505FB4"/>
    <w:rsid w:val="00513200"/>
    <w:rsid w:val="00513E03"/>
    <w:rsid w:val="0051679B"/>
    <w:rsid w:val="00520563"/>
    <w:rsid w:val="005206C4"/>
    <w:rsid w:val="00522454"/>
    <w:rsid w:val="005229DF"/>
    <w:rsid w:val="005242FD"/>
    <w:rsid w:val="00524B34"/>
    <w:rsid w:val="0052520E"/>
    <w:rsid w:val="00526566"/>
    <w:rsid w:val="0052660E"/>
    <w:rsid w:val="00530D0C"/>
    <w:rsid w:val="00532149"/>
    <w:rsid w:val="00533CD5"/>
    <w:rsid w:val="00534C89"/>
    <w:rsid w:val="005364EF"/>
    <w:rsid w:val="00536D8B"/>
    <w:rsid w:val="00540982"/>
    <w:rsid w:val="00542221"/>
    <w:rsid w:val="00542A70"/>
    <w:rsid w:val="0054579B"/>
    <w:rsid w:val="00545B9B"/>
    <w:rsid w:val="00546B11"/>
    <w:rsid w:val="00546E99"/>
    <w:rsid w:val="005503ED"/>
    <w:rsid w:val="00553A72"/>
    <w:rsid w:val="0055472D"/>
    <w:rsid w:val="005556B0"/>
    <w:rsid w:val="005558E3"/>
    <w:rsid w:val="00560D6E"/>
    <w:rsid w:val="00562446"/>
    <w:rsid w:val="005653D2"/>
    <w:rsid w:val="00566547"/>
    <w:rsid w:val="00571860"/>
    <w:rsid w:val="00572176"/>
    <w:rsid w:val="00572681"/>
    <w:rsid w:val="00575D03"/>
    <w:rsid w:val="00580BB0"/>
    <w:rsid w:val="00582C9D"/>
    <w:rsid w:val="005837B8"/>
    <w:rsid w:val="00584253"/>
    <w:rsid w:val="005906E1"/>
    <w:rsid w:val="005913A3"/>
    <w:rsid w:val="00591D89"/>
    <w:rsid w:val="005949B2"/>
    <w:rsid w:val="005971D6"/>
    <w:rsid w:val="005979DA"/>
    <w:rsid w:val="005A0A20"/>
    <w:rsid w:val="005A17B0"/>
    <w:rsid w:val="005A2054"/>
    <w:rsid w:val="005A314A"/>
    <w:rsid w:val="005B1632"/>
    <w:rsid w:val="005B1A32"/>
    <w:rsid w:val="005B2123"/>
    <w:rsid w:val="005B2209"/>
    <w:rsid w:val="005B2501"/>
    <w:rsid w:val="005B253D"/>
    <w:rsid w:val="005B3934"/>
    <w:rsid w:val="005B6820"/>
    <w:rsid w:val="005B7239"/>
    <w:rsid w:val="005B7948"/>
    <w:rsid w:val="005C16A1"/>
    <w:rsid w:val="005C5AEB"/>
    <w:rsid w:val="005C5BB3"/>
    <w:rsid w:val="005D0FD9"/>
    <w:rsid w:val="005D12D2"/>
    <w:rsid w:val="005D1D6D"/>
    <w:rsid w:val="005D3A12"/>
    <w:rsid w:val="005D5708"/>
    <w:rsid w:val="005D593A"/>
    <w:rsid w:val="005D6DD5"/>
    <w:rsid w:val="005D75B2"/>
    <w:rsid w:val="005D7E0E"/>
    <w:rsid w:val="005E0538"/>
    <w:rsid w:val="005E068C"/>
    <w:rsid w:val="005E0924"/>
    <w:rsid w:val="005E1557"/>
    <w:rsid w:val="005E299B"/>
    <w:rsid w:val="005E2A17"/>
    <w:rsid w:val="005E2D5C"/>
    <w:rsid w:val="005E33B4"/>
    <w:rsid w:val="005E6E1B"/>
    <w:rsid w:val="005E7165"/>
    <w:rsid w:val="005F11DA"/>
    <w:rsid w:val="005F33A0"/>
    <w:rsid w:val="005F3955"/>
    <w:rsid w:val="005F6470"/>
    <w:rsid w:val="005F6B2A"/>
    <w:rsid w:val="006000DB"/>
    <w:rsid w:val="00600C29"/>
    <w:rsid w:val="006012B8"/>
    <w:rsid w:val="0060134B"/>
    <w:rsid w:val="0060384D"/>
    <w:rsid w:val="00606709"/>
    <w:rsid w:val="006068EB"/>
    <w:rsid w:val="00612E5D"/>
    <w:rsid w:val="00614353"/>
    <w:rsid w:val="006156D6"/>
    <w:rsid w:val="00616030"/>
    <w:rsid w:val="006160EE"/>
    <w:rsid w:val="00621B04"/>
    <w:rsid w:val="00623B74"/>
    <w:rsid w:val="00627F7C"/>
    <w:rsid w:val="00632689"/>
    <w:rsid w:val="00634E2C"/>
    <w:rsid w:val="00640A7D"/>
    <w:rsid w:val="006411C1"/>
    <w:rsid w:val="006426C2"/>
    <w:rsid w:val="00643564"/>
    <w:rsid w:val="00643D07"/>
    <w:rsid w:val="0064514E"/>
    <w:rsid w:val="0064570E"/>
    <w:rsid w:val="00645C69"/>
    <w:rsid w:val="006514A9"/>
    <w:rsid w:val="00655FED"/>
    <w:rsid w:val="00656A0B"/>
    <w:rsid w:val="006571F8"/>
    <w:rsid w:val="0065788B"/>
    <w:rsid w:val="00662F08"/>
    <w:rsid w:val="00663F75"/>
    <w:rsid w:val="00665947"/>
    <w:rsid w:val="006672CD"/>
    <w:rsid w:val="006715A1"/>
    <w:rsid w:val="006716D5"/>
    <w:rsid w:val="00672539"/>
    <w:rsid w:val="006734BD"/>
    <w:rsid w:val="00673B5C"/>
    <w:rsid w:val="0067501C"/>
    <w:rsid w:val="00675EE0"/>
    <w:rsid w:val="0068055E"/>
    <w:rsid w:val="00682A75"/>
    <w:rsid w:val="006831A6"/>
    <w:rsid w:val="00683496"/>
    <w:rsid w:val="00683B1F"/>
    <w:rsid w:val="00684510"/>
    <w:rsid w:val="00685EB6"/>
    <w:rsid w:val="00685F61"/>
    <w:rsid w:val="00686992"/>
    <w:rsid w:val="00692D48"/>
    <w:rsid w:val="00693432"/>
    <w:rsid w:val="00695E2A"/>
    <w:rsid w:val="006967B8"/>
    <w:rsid w:val="00696802"/>
    <w:rsid w:val="006A396A"/>
    <w:rsid w:val="006A517B"/>
    <w:rsid w:val="006A58CB"/>
    <w:rsid w:val="006A5CAA"/>
    <w:rsid w:val="006A6AAF"/>
    <w:rsid w:val="006B42EE"/>
    <w:rsid w:val="006B4740"/>
    <w:rsid w:val="006B47A0"/>
    <w:rsid w:val="006B5616"/>
    <w:rsid w:val="006C0082"/>
    <w:rsid w:val="006C07C1"/>
    <w:rsid w:val="006C17C7"/>
    <w:rsid w:val="006C2E69"/>
    <w:rsid w:val="006C3877"/>
    <w:rsid w:val="006C5306"/>
    <w:rsid w:val="006C588E"/>
    <w:rsid w:val="006C5E23"/>
    <w:rsid w:val="006C659D"/>
    <w:rsid w:val="006C7BB5"/>
    <w:rsid w:val="006D0DEF"/>
    <w:rsid w:val="006D1731"/>
    <w:rsid w:val="006D266D"/>
    <w:rsid w:val="006D4507"/>
    <w:rsid w:val="006D580B"/>
    <w:rsid w:val="006D6382"/>
    <w:rsid w:val="006E05E9"/>
    <w:rsid w:val="006E3D78"/>
    <w:rsid w:val="006E4D07"/>
    <w:rsid w:val="006E5699"/>
    <w:rsid w:val="006F2F24"/>
    <w:rsid w:val="006F5B15"/>
    <w:rsid w:val="006F5D9A"/>
    <w:rsid w:val="006F632A"/>
    <w:rsid w:val="007016FB"/>
    <w:rsid w:val="00701707"/>
    <w:rsid w:val="0070323D"/>
    <w:rsid w:val="00703B7F"/>
    <w:rsid w:val="00703F93"/>
    <w:rsid w:val="0070402D"/>
    <w:rsid w:val="00704A0E"/>
    <w:rsid w:val="0070630D"/>
    <w:rsid w:val="00707E4D"/>
    <w:rsid w:val="00710089"/>
    <w:rsid w:val="00712168"/>
    <w:rsid w:val="00712887"/>
    <w:rsid w:val="00714260"/>
    <w:rsid w:val="007177A0"/>
    <w:rsid w:val="0072066B"/>
    <w:rsid w:val="007244B9"/>
    <w:rsid w:val="00724AB2"/>
    <w:rsid w:val="00724C19"/>
    <w:rsid w:val="00725CF2"/>
    <w:rsid w:val="00726174"/>
    <w:rsid w:val="0072673C"/>
    <w:rsid w:val="00732359"/>
    <w:rsid w:val="00733329"/>
    <w:rsid w:val="00733A7F"/>
    <w:rsid w:val="0073423A"/>
    <w:rsid w:val="007356D9"/>
    <w:rsid w:val="00736EF9"/>
    <w:rsid w:val="007371BD"/>
    <w:rsid w:val="007376F7"/>
    <w:rsid w:val="007403B7"/>
    <w:rsid w:val="007404F9"/>
    <w:rsid w:val="00740749"/>
    <w:rsid w:val="007409B2"/>
    <w:rsid w:val="00742137"/>
    <w:rsid w:val="0074249D"/>
    <w:rsid w:val="00750EDB"/>
    <w:rsid w:val="00752D00"/>
    <w:rsid w:val="007546EE"/>
    <w:rsid w:val="007563C5"/>
    <w:rsid w:val="00756DED"/>
    <w:rsid w:val="00762416"/>
    <w:rsid w:val="00764E8C"/>
    <w:rsid w:val="00765B60"/>
    <w:rsid w:val="00765FFF"/>
    <w:rsid w:val="0077064E"/>
    <w:rsid w:val="00771160"/>
    <w:rsid w:val="00771A6F"/>
    <w:rsid w:val="00775F36"/>
    <w:rsid w:val="00776468"/>
    <w:rsid w:val="007810D2"/>
    <w:rsid w:val="00783D1A"/>
    <w:rsid w:val="0078470C"/>
    <w:rsid w:val="00784FB8"/>
    <w:rsid w:val="0078654E"/>
    <w:rsid w:val="00786A2F"/>
    <w:rsid w:val="00787C9E"/>
    <w:rsid w:val="00787EDD"/>
    <w:rsid w:val="00790316"/>
    <w:rsid w:val="00790827"/>
    <w:rsid w:val="00791432"/>
    <w:rsid w:val="007917D9"/>
    <w:rsid w:val="00795C93"/>
    <w:rsid w:val="0079785B"/>
    <w:rsid w:val="007A03A6"/>
    <w:rsid w:val="007A30AB"/>
    <w:rsid w:val="007A31F4"/>
    <w:rsid w:val="007A6DB2"/>
    <w:rsid w:val="007B0086"/>
    <w:rsid w:val="007B0BBD"/>
    <w:rsid w:val="007B1BB5"/>
    <w:rsid w:val="007B21B1"/>
    <w:rsid w:val="007B4BD0"/>
    <w:rsid w:val="007B5361"/>
    <w:rsid w:val="007B6DBD"/>
    <w:rsid w:val="007B6E91"/>
    <w:rsid w:val="007C088A"/>
    <w:rsid w:val="007C13E0"/>
    <w:rsid w:val="007C1567"/>
    <w:rsid w:val="007C192B"/>
    <w:rsid w:val="007C2203"/>
    <w:rsid w:val="007C2924"/>
    <w:rsid w:val="007C7C80"/>
    <w:rsid w:val="007D1D98"/>
    <w:rsid w:val="007D3814"/>
    <w:rsid w:val="007D3F2C"/>
    <w:rsid w:val="007D7105"/>
    <w:rsid w:val="007D7BF5"/>
    <w:rsid w:val="007E019F"/>
    <w:rsid w:val="007E11EB"/>
    <w:rsid w:val="007E2210"/>
    <w:rsid w:val="007E3B9E"/>
    <w:rsid w:val="007E4604"/>
    <w:rsid w:val="007E6961"/>
    <w:rsid w:val="007F2E08"/>
    <w:rsid w:val="007F4452"/>
    <w:rsid w:val="007F6A5E"/>
    <w:rsid w:val="008009F8"/>
    <w:rsid w:val="00801FF5"/>
    <w:rsid w:val="00803F73"/>
    <w:rsid w:val="00805477"/>
    <w:rsid w:val="008150CB"/>
    <w:rsid w:val="00815B29"/>
    <w:rsid w:val="00816327"/>
    <w:rsid w:val="0081715D"/>
    <w:rsid w:val="0082102A"/>
    <w:rsid w:val="008257CA"/>
    <w:rsid w:val="00826A42"/>
    <w:rsid w:val="00826A9B"/>
    <w:rsid w:val="0083051F"/>
    <w:rsid w:val="00831895"/>
    <w:rsid w:val="00831E2D"/>
    <w:rsid w:val="00832090"/>
    <w:rsid w:val="00833273"/>
    <w:rsid w:val="00835B6A"/>
    <w:rsid w:val="00835CF9"/>
    <w:rsid w:val="00836C3C"/>
    <w:rsid w:val="0083788D"/>
    <w:rsid w:val="00840DB1"/>
    <w:rsid w:val="00846C83"/>
    <w:rsid w:val="008504A7"/>
    <w:rsid w:val="00853E17"/>
    <w:rsid w:val="00854693"/>
    <w:rsid w:val="00855CC3"/>
    <w:rsid w:val="0085666E"/>
    <w:rsid w:val="00857C68"/>
    <w:rsid w:val="00860686"/>
    <w:rsid w:val="00860689"/>
    <w:rsid w:val="008648B3"/>
    <w:rsid w:val="0086512F"/>
    <w:rsid w:val="0086533C"/>
    <w:rsid w:val="00866AA9"/>
    <w:rsid w:val="00870BB2"/>
    <w:rsid w:val="00871BBF"/>
    <w:rsid w:val="0087297E"/>
    <w:rsid w:val="008739C9"/>
    <w:rsid w:val="00877156"/>
    <w:rsid w:val="00877813"/>
    <w:rsid w:val="00877DD9"/>
    <w:rsid w:val="00880F0A"/>
    <w:rsid w:val="0088167C"/>
    <w:rsid w:val="00882EFF"/>
    <w:rsid w:val="00887135"/>
    <w:rsid w:val="008872EC"/>
    <w:rsid w:val="00890280"/>
    <w:rsid w:val="00894C44"/>
    <w:rsid w:val="008A11BE"/>
    <w:rsid w:val="008A267C"/>
    <w:rsid w:val="008A374D"/>
    <w:rsid w:val="008A545D"/>
    <w:rsid w:val="008A5747"/>
    <w:rsid w:val="008A7B9B"/>
    <w:rsid w:val="008B4242"/>
    <w:rsid w:val="008B5D7E"/>
    <w:rsid w:val="008C4C2A"/>
    <w:rsid w:val="008C4D8D"/>
    <w:rsid w:val="008D0026"/>
    <w:rsid w:val="008D0660"/>
    <w:rsid w:val="008D0EA7"/>
    <w:rsid w:val="008D1B47"/>
    <w:rsid w:val="008D37AF"/>
    <w:rsid w:val="008D547A"/>
    <w:rsid w:val="008D5A34"/>
    <w:rsid w:val="008D6295"/>
    <w:rsid w:val="008D7557"/>
    <w:rsid w:val="008D7C63"/>
    <w:rsid w:val="008E191F"/>
    <w:rsid w:val="008E2114"/>
    <w:rsid w:val="008E2A18"/>
    <w:rsid w:val="008E38F0"/>
    <w:rsid w:val="008E3ABC"/>
    <w:rsid w:val="008E42FB"/>
    <w:rsid w:val="008E66B6"/>
    <w:rsid w:val="008E73B8"/>
    <w:rsid w:val="008E7FD7"/>
    <w:rsid w:val="008F0A15"/>
    <w:rsid w:val="008F26A7"/>
    <w:rsid w:val="008F4763"/>
    <w:rsid w:val="008F6464"/>
    <w:rsid w:val="00902B8A"/>
    <w:rsid w:val="00902DF3"/>
    <w:rsid w:val="0090373B"/>
    <w:rsid w:val="00905B2C"/>
    <w:rsid w:val="00905F12"/>
    <w:rsid w:val="00910641"/>
    <w:rsid w:val="009149F6"/>
    <w:rsid w:val="00915A1F"/>
    <w:rsid w:val="00917C8F"/>
    <w:rsid w:val="00920DF0"/>
    <w:rsid w:val="00921151"/>
    <w:rsid w:val="0092140F"/>
    <w:rsid w:val="00924A44"/>
    <w:rsid w:val="009251AC"/>
    <w:rsid w:val="00925836"/>
    <w:rsid w:val="0093098B"/>
    <w:rsid w:val="00933292"/>
    <w:rsid w:val="00933B98"/>
    <w:rsid w:val="009400A1"/>
    <w:rsid w:val="00940493"/>
    <w:rsid w:val="00942635"/>
    <w:rsid w:val="009442F1"/>
    <w:rsid w:val="00946FDB"/>
    <w:rsid w:val="009476B7"/>
    <w:rsid w:val="009510B0"/>
    <w:rsid w:val="0095475A"/>
    <w:rsid w:val="00955633"/>
    <w:rsid w:val="009619D2"/>
    <w:rsid w:val="00962E0E"/>
    <w:rsid w:val="00963A10"/>
    <w:rsid w:val="00965658"/>
    <w:rsid w:val="009664CE"/>
    <w:rsid w:val="009713A0"/>
    <w:rsid w:val="00972267"/>
    <w:rsid w:val="00973D65"/>
    <w:rsid w:val="00973D93"/>
    <w:rsid w:val="009744AE"/>
    <w:rsid w:val="00980271"/>
    <w:rsid w:val="00983046"/>
    <w:rsid w:val="00983AEA"/>
    <w:rsid w:val="00984230"/>
    <w:rsid w:val="00986CE5"/>
    <w:rsid w:val="009918F4"/>
    <w:rsid w:val="00993CBF"/>
    <w:rsid w:val="00995F40"/>
    <w:rsid w:val="0099723D"/>
    <w:rsid w:val="009A084F"/>
    <w:rsid w:val="009A3AF5"/>
    <w:rsid w:val="009A3D09"/>
    <w:rsid w:val="009A4A29"/>
    <w:rsid w:val="009B0602"/>
    <w:rsid w:val="009B3858"/>
    <w:rsid w:val="009B55C9"/>
    <w:rsid w:val="009C0D9F"/>
    <w:rsid w:val="009C191E"/>
    <w:rsid w:val="009C31EE"/>
    <w:rsid w:val="009C3300"/>
    <w:rsid w:val="009C3978"/>
    <w:rsid w:val="009C504C"/>
    <w:rsid w:val="009C65EA"/>
    <w:rsid w:val="009C683F"/>
    <w:rsid w:val="009D2B6D"/>
    <w:rsid w:val="009D4919"/>
    <w:rsid w:val="009D51D8"/>
    <w:rsid w:val="009D5A1C"/>
    <w:rsid w:val="009D6944"/>
    <w:rsid w:val="009D6EE2"/>
    <w:rsid w:val="009E0A15"/>
    <w:rsid w:val="009E2BF3"/>
    <w:rsid w:val="009E2E83"/>
    <w:rsid w:val="009E439B"/>
    <w:rsid w:val="009F197D"/>
    <w:rsid w:val="009F1CDB"/>
    <w:rsid w:val="009F4782"/>
    <w:rsid w:val="009F7A03"/>
    <w:rsid w:val="00A01409"/>
    <w:rsid w:val="00A01D1A"/>
    <w:rsid w:val="00A02898"/>
    <w:rsid w:val="00A04B42"/>
    <w:rsid w:val="00A05406"/>
    <w:rsid w:val="00A072FC"/>
    <w:rsid w:val="00A078A4"/>
    <w:rsid w:val="00A10285"/>
    <w:rsid w:val="00A106B8"/>
    <w:rsid w:val="00A10D30"/>
    <w:rsid w:val="00A11506"/>
    <w:rsid w:val="00A13A3F"/>
    <w:rsid w:val="00A15AA6"/>
    <w:rsid w:val="00A17E7F"/>
    <w:rsid w:val="00A17F44"/>
    <w:rsid w:val="00A2349E"/>
    <w:rsid w:val="00A24B56"/>
    <w:rsid w:val="00A2525C"/>
    <w:rsid w:val="00A30688"/>
    <w:rsid w:val="00A3149E"/>
    <w:rsid w:val="00A33994"/>
    <w:rsid w:val="00A33D08"/>
    <w:rsid w:val="00A3631E"/>
    <w:rsid w:val="00A368A7"/>
    <w:rsid w:val="00A3716C"/>
    <w:rsid w:val="00A401C6"/>
    <w:rsid w:val="00A4591D"/>
    <w:rsid w:val="00A5316D"/>
    <w:rsid w:val="00A532C2"/>
    <w:rsid w:val="00A61DBD"/>
    <w:rsid w:val="00A713DB"/>
    <w:rsid w:val="00A7395B"/>
    <w:rsid w:val="00A748A4"/>
    <w:rsid w:val="00A75CDD"/>
    <w:rsid w:val="00A81546"/>
    <w:rsid w:val="00A81A6E"/>
    <w:rsid w:val="00A81FF6"/>
    <w:rsid w:val="00A87CDA"/>
    <w:rsid w:val="00A9085A"/>
    <w:rsid w:val="00A91BED"/>
    <w:rsid w:val="00A9263B"/>
    <w:rsid w:val="00A92787"/>
    <w:rsid w:val="00A9341D"/>
    <w:rsid w:val="00A93E50"/>
    <w:rsid w:val="00A96CE4"/>
    <w:rsid w:val="00AA1134"/>
    <w:rsid w:val="00AA1847"/>
    <w:rsid w:val="00AA20BB"/>
    <w:rsid w:val="00AA54B2"/>
    <w:rsid w:val="00AB2490"/>
    <w:rsid w:val="00AB47FE"/>
    <w:rsid w:val="00AB5D98"/>
    <w:rsid w:val="00AC0C0A"/>
    <w:rsid w:val="00AC2C0D"/>
    <w:rsid w:val="00AD2D42"/>
    <w:rsid w:val="00AD4653"/>
    <w:rsid w:val="00AD4A13"/>
    <w:rsid w:val="00AD5712"/>
    <w:rsid w:val="00AD61A0"/>
    <w:rsid w:val="00AE0539"/>
    <w:rsid w:val="00AE24CB"/>
    <w:rsid w:val="00AE34C6"/>
    <w:rsid w:val="00AE5759"/>
    <w:rsid w:val="00AE6637"/>
    <w:rsid w:val="00AE78AB"/>
    <w:rsid w:val="00AE7988"/>
    <w:rsid w:val="00AE7BEB"/>
    <w:rsid w:val="00AF3EC6"/>
    <w:rsid w:val="00AF4CDC"/>
    <w:rsid w:val="00AF5132"/>
    <w:rsid w:val="00AF7552"/>
    <w:rsid w:val="00AF7CD5"/>
    <w:rsid w:val="00B00414"/>
    <w:rsid w:val="00B006F8"/>
    <w:rsid w:val="00B023BC"/>
    <w:rsid w:val="00B02F5C"/>
    <w:rsid w:val="00B03EB4"/>
    <w:rsid w:val="00B10175"/>
    <w:rsid w:val="00B1107F"/>
    <w:rsid w:val="00B121C0"/>
    <w:rsid w:val="00B13A3B"/>
    <w:rsid w:val="00B14652"/>
    <w:rsid w:val="00B14686"/>
    <w:rsid w:val="00B1592A"/>
    <w:rsid w:val="00B20853"/>
    <w:rsid w:val="00B218C9"/>
    <w:rsid w:val="00B21CB9"/>
    <w:rsid w:val="00B228B1"/>
    <w:rsid w:val="00B22F5F"/>
    <w:rsid w:val="00B2617D"/>
    <w:rsid w:val="00B303AD"/>
    <w:rsid w:val="00B31B0F"/>
    <w:rsid w:val="00B31CD2"/>
    <w:rsid w:val="00B32086"/>
    <w:rsid w:val="00B32ED3"/>
    <w:rsid w:val="00B330EA"/>
    <w:rsid w:val="00B41948"/>
    <w:rsid w:val="00B4231A"/>
    <w:rsid w:val="00B430E9"/>
    <w:rsid w:val="00B442BB"/>
    <w:rsid w:val="00B45EA3"/>
    <w:rsid w:val="00B479AC"/>
    <w:rsid w:val="00B50315"/>
    <w:rsid w:val="00B50517"/>
    <w:rsid w:val="00B50BD6"/>
    <w:rsid w:val="00B50D06"/>
    <w:rsid w:val="00B51826"/>
    <w:rsid w:val="00B525D9"/>
    <w:rsid w:val="00B54ABF"/>
    <w:rsid w:val="00B601A7"/>
    <w:rsid w:val="00B60A4A"/>
    <w:rsid w:val="00B6210A"/>
    <w:rsid w:val="00B6466F"/>
    <w:rsid w:val="00B65D10"/>
    <w:rsid w:val="00B70F19"/>
    <w:rsid w:val="00B72BDB"/>
    <w:rsid w:val="00B730E5"/>
    <w:rsid w:val="00B73524"/>
    <w:rsid w:val="00B739B3"/>
    <w:rsid w:val="00B745B1"/>
    <w:rsid w:val="00B76302"/>
    <w:rsid w:val="00B76604"/>
    <w:rsid w:val="00B776F3"/>
    <w:rsid w:val="00B80488"/>
    <w:rsid w:val="00B81B3B"/>
    <w:rsid w:val="00B8215F"/>
    <w:rsid w:val="00B8315B"/>
    <w:rsid w:val="00B8344E"/>
    <w:rsid w:val="00B84014"/>
    <w:rsid w:val="00B84C8C"/>
    <w:rsid w:val="00B84D98"/>
    <w:rsid w:val="00B85D99"/>
    <w:rsid w:val="00B85DEA"/>
    <w:rsid w:val="00B85F83"/>
    <w:rsid w:val="00B8734A"/>
    <w:rsid w:val="00B9072F"/>
    <w:rsid w:val="00B90E12"/>
    <w:rsid w:val="00B90E8B"/>
    <w:rsid w:val="00B92D84"/>
    <w:rsid w:val="00B9423A"/>
    <w:rsid w:val="00B94FB6"/>
    <w:rsid w:val="00B96FBC"/>
    <w:rsid w:val="00B9747D"/>
    <w:rsid w:val="00BA22D6"/>
    <w:rsid w:val="00BA34B4"/>
    <w:rsid w:val="00BA470F"/>
    <w:rsid w:val="00BA56A2"/>
    <w:rsid w:val="00BB1A58"/>
    <w:rsid w:val="00BB314B"/>
    <w:rsid w:val="00BB6523"/>
    <w:rsid w:val="00BC0433"/>
    <w:rsid w:val="00BC60AC"/>
    <w:rsid w:val="00BC6273"/>
    <w:rsid w:val="00BC74E8"/>
    <w:rsid w:val="00BD106B"/>
    <w:rsid w:val="00BD280A"/>
    <w:rsid w:val="00BD3D4C"/>
    <w:rsid w:val="00BD52FF"/>
    <w:rsid w:val="00BD5CF9"/>
    <w:rsid w:val="00BE14BD"/>
    <w:rsid w:val="00BE430B"/>
    <w:rsid w:val="00BE5E88"/>
    <w:rsid w:val="00BE6A71"/>
    <w:rsid w:val="00BE6B5C"/>
    <w:rsid w:val="00BE75AE"/>
    <w:rsid w:val="00BF0291"/>
    <w:rsid w:val="00BF02FD"/>
    <w:rsid w:val="00BF07AE"/>
    <w:rsid w:val="00BF257D"/>
    <w:rsid w:val="00BF26CD"/>
    <w:rsid w:val="00BF45F7"/>
    <w:rsid w:val="00BF470F"/>
    <w:rsid w:val="00BF4825"/>
    <w:rsid w:val="00BF59D4"/>
    <w:rsid w:val="00BF6F84"/>
    <w:rsid w:val="00BF729F"/>
    <w:rsid w:val="00C002A3"/>
    <w:rsid w:val="00C00CF7"/>
    <w:rsid w:val="00C04B60"/>
    <w:rsid w:val="00C04FCF"/>
    <w:rsid w:val="00C05BF5"/>
    <w:rsid w:val="00C07C80"/>
    <w:rsid w:val="00C07D30"/>
    <w:rsid w:val="00C1151A"/>
    <w:rsid w:val="00C12398"/>
    <w:rsid w:val="00C129F7"/>
    <w:rsid w:val="00C144E4"/>
    <w:rsid w:val="00C160F9"/>
    <w:rsid w:val="00C17192"/>
    <w:rsid w:val="00C171E4"/>
    <w:rsid w:val="00C17A7F"/>
    <w:rsid w:val="00C216F6"/>
    <w:rsid w:val="00C21BCD"/>
    <w:rsid w:val="00C22751"/>
    <w:rsid w:val="00C24C74"/>
    <w:rsid w:val="00C260B8"/>
    <w:rsid w:val="00C263B4"/>
    <w:rsid w:val="00C27899"/>
    <w:rsid w:val="00C32A17"/>
    <w:rsid w:val="00C33777"/>
    <w:rsid w:val="00C34D0B"/>
    <w:rsid w:val="00C3549F"/>
    <w:rsid w:val="00C40527"/>
    <w:rsid w:val="00C41C01"/>
    <w:rsid w:val="00C41E03"/>
    <w:rsid w:val="00C46832"/>
    <w:rsid w:val="00C47779"/>
    <w:rsid w:val="00C47BB8"/>
    <w:rsid w:val="00C52E42"/>
    <w:rsid w:val="00C54C96"/>
    <w:rsid w:val="00C55395"/>
    <w:rsid w:val="00C57AE5"/>
    <w:rsid w:val="00C57BC6"/>
    <w:rsid w:val="00C6632A"/>
    <w:rsid w:val="00C675F7"/>
    <w:rsid w:val="00C70260"/>
    <w:rsid w:val="00C70C8C"/>
    <w:rsid w:val="00C70EB6"/>
    <w:rsid w:val="00C72CB9"/>
    <w:rsid w:val="00C74A42"/>
    <w:rsid w:val="00C75C33"/>
    <w:rsid w:val="00C77349"/>
    <w:rsid w:val="00C816EA"/>
    <w:rsid w:val="00C82E58"/>
    <w:rsid w:val="00C8308E"/>
    <w:rsid w:val="00C86A2A"/>
    <w:rsid w:val="00C87EE6"/>
    <w:rsid w:val="00C91CFF"/>
    <w:rsid w:val="00C95F85"/>
    <w:rsid w:val="00C97E73"/>
    <w:rsid w:val="00CA1170"/>
    <w:rsid w:val="00CA1433"/>
    <w:rsid w:val="00CA2910"/>
    <w:rsid w:val="00CA5F55"/>
    <w:rsid w:val="00CB164A"/>
    <w:rsid w:val="00CB1A57"/>
    <w:rsid w:val="00CB1DED"/>
    <w:rsid w:val="00CB58AB"/>
    <w:rsid w:val="00CB5DCC"/>
    <w:rsid w:val="00CC0870"/>
    <w:rsid w:val="00CC30EE"/>
    <w:rsid w:val="00CC44C1"/>
    <w:rsid w:val="00CC627B"/>
    <w:rsid w:val="00CC63AF"/>
    <w:rsid w:val="00CC6DA2"/>
    <w:rsid w:val="00CD0E69"/>
    <w:rsid w:val="00CD1190"/>
    <w:rsid w:val="00CD3382"/>
    <w:rsid w:val="00CD6ED3"/>
    <w:rsid w:val="00CE1623"/>
    <w:rsid w:val="00CE29B8"/>
    <w:rsid w:val="00CE3BAA"/>
    <w:rsid w:val="00CE47E1"/>
    <w:rsid w:val="00CE4CEF"/>
    <w:rsid w:val="00CE6033"/>
    <w:rsid w:val="00CE7A48"/>
    <w:rsid w:val="00CF411A"/>
    <w:rsid w:val="00CF4A82"/>
    <w:rsid w:val="00CF6CF1"/>
    <w:rsid w:val="00CF7C01"/>
    <w:rsid w:val="00D02C44"/>
    <w:rsid w:val="00D03397"/>
    <w:rsid w:val="00D03954"/>
    <w:rsid w:val="00D04F7C"/>
    <w:rsid w:val="00D0527B"/>
    <w:rsid w:val="00D05606"/>
    <w:rsid w:val="00D07177"/>
    <w:rsid w:val="00D1033A"/>
    <w:rsid w:val="00D124A7"/>
    <w:rsid w:val="00D1319E"/>
    <w:rsid w:val="00D138E1"/>
    <w:rsid w:val="00D141BC"/>
    <w:rsid w:val="00D162C1"/>
    <w:rsid w:val="00D21B3D"/>
    <w:rsid w:val="00D23F99"/>
    <w:rsid w:val="00D24E2C"/>
    <w:rsid w:val="00D2583C"/>
    <w:rsid w:val="00D26B92"/>
    <w:rsid w:val="00D27911"/>
    <w:rsid w:val="00D30285"/>
    <w:rsid w:val="00D30599"/>
    <w:rsid w:val="00D3332F"/>
    <w:rsid w:val="00D36656"/>
    <w:rsid w:val="00D46990"/>
    <w:rsid w:val="00D47878"/>
    <w:rsid w:val="00D47BE7"/>
    <w:rsid w:val="00D47FB0"/>
    <w:rsid w:val="00D5080A"/>
    <w:rsid w:val="00D51E39"/>
    <w:rsid w:val="00D557D7"/>
    <w:rsid w:val="00D57394"/>
    <w:rsid w:val="00D57DCE"/>
    <w:rsid w:val="00D57DE6"/>
    <w:rsid w:val="00D60C3D"/>
    <w:rsid w:val="00D623D8"/>
    <w:rsid w:val="00D627CA"/>
    <w:rsid w:val="00D63891"/>
    <w:rsid w:val="00D67668"/>
    <w:rsid w:val="00D7122D"/>
    <w:rsid w:val="00D714FB"/>
    <w:rsid w:val="00D71CB7"/>
    <w:rsid w:val="00D747B6"/>
    <w:rsid w:val="00D74EA3"/>
    <w:rsid w:val="00D7575C"/>
    <w:rsid w:val="00D757BD"/>
    <w:rsid w:val="00D829C5"/>
    <w:rsid w:val="00D83E1E"/>
    <w:rsid w:val="00D90025"/>
    <w:rsid w:val="00D918ED"/>
    <w:rsid w:val="00D933C4"/>
    <w:rsid w:val="00D93EA8"/>
    <w:rsid w:val="00D94003"/>
    <w:rsid w:val="00D95E5F"/>
    <w:rsid w:val="00DA06B6"/>
    <w:rsid w:val="00DA2588"/>
    <w:rsid w:val="00DA2B6D"/>
    <w:rsid w:val="00DA375C"/>
    <w:rsid w:val="00DA60C7"/>
    <w:rsid w:val="00DA6B2C"/>
    <w:rsid w:val="00DB0151"/>
    <w:rsid w:val="00DB4102"/>
    <w:rsid w:val="00DB5CD1"/>
    <w:rsid w:val="00DC194C"/>
    <w:rsid w:val="00DC589F"/>
    <w:rsid w:val="00DD139E"/>
    <w:rsid w:val="00DD1BFB"/>
    <w:rsid w:val="00DD204D"/>
    <w:rsid w:val="00DD234A"/>
    <w:rsid w:val="00DD5726"/>
    <w:rsid w:val="00DD5A0A"/>
    <w:rsid w:val="00DE0E90"/>
    <w:rsid w:val="00DE15E3"/>
    <w:rsid w:val="00DE326C"/>
    <w:rsid w:val="00DE46C0"/>
    <w:rsid w:val="00DF09ED"/>
    <w:rsid w:val="00DF2C88"/>
    <w:rsid w:val="00DF2F20"/>
    <w:rsid w:val="00DF3391"/>
    <w:rsid w:val="00DF3545"/>
    <w:rsid w:val="00DF3DBF"/>
    <w:rsid w:val="00DF3DCF"/>
    <w:rsid w:val="00DF3FEF"/>
    <w:rsid w:val="00DF5E6F"/>
    <w:rsid w:val="00DF6466"/>
    <w:rsid w:val="00DF6E76"/>
    <w:rsid w:val="00E008FD"/>
    <w:rsid w:val="00E03803"/>
    <w:rsid w:val="00E03E21"/>
    <w:rsid w:val="00E0450D"/>
    <w:rsid w:val="00E04F37"/>
    <w:rsid w:val="00E05375"/>
    <w:rsid w:val="00E10710"/>
    <w:rsid w:val="00E1297B"/>
    <w:rsid w:val="00E1489D"/>
    <w:rsid w:val="00E15C4A"/>
    <w:rsid w:val="00E15E0E"/>
    <w:rsid w:val="00E1767E"/>
    <w:rsid w:val="00E23DD2"/>
    <w:rsid w:val="00E241DF"/>
    <w:rsid w:val="00E2479E"/>
    <w:rsid w:val="00E27123"/>
    <w:rsid w:val="00E27BF9"/>
    <w:rsid w:val="00E3383E"/>
    <w:rsid w:val="00E3472C"/>
    <w:rsid w:val="00E34A06"/>
    <w:rsid w:val="00E35205"/>
    <w:rsid w:val="00E35252"/>
    <w:rsid w:val="00E421A8"/>
    <w:rsid w:val="00E42321"/>
    <w:rsid w:val="00E43CFC"/>
    <w:rsid w:val="00E4527A"/>
    <w:rsid w:val="00E454BF"/>
    <w:rsid w:val="00E45CCE"/>
    <w:rsid w:val="00E45E09"/>
    <w:rsid w:val="00E50A96"/>
    <w:rsid w:val="00E542AA"/>
    <w:rsid w:val="00E56B4E"/>
    <w:rsid w:val="00E60BA6"/>
    <w:rsid w:val="00E61BD4"/>
    <w:rsid w:val="00E62FC3"/>
    <w:rsid w:val="00E63BE3"/>
    <w:rsid w:val="00E64571"/>
    <w:rsid w:val="00E64D04"/>
    <w:rsid w:val="00E6632C"/>
    <w:rsid w:val="00E6698D"/>
    <w:rsid w:val="00E70661"/>
    <w:rsid w:val="00E71330"/>
    <w:rsid w:val="00E71FF9"/>
    <w:rsid w:val="00E72AEF"/>
    <w:rsid w:val="00E771D0"/>
    <w:rsid w:val="00E82DF2"/>
    <w:rsid w:val="00E87615"/>
    <w:rsid w:val="00E9043C"/>
    <w:rsid w:val="00E9155C"/>
    <w:rsid w:val="00E91AC1"/>
    <w:rsid w:val="00E9240B"/>
    <w:rsid w:val="00E94D4C"/>
    <w:rsid w:val="00E978E2"/>
    <w:rsid w:val="00EA06E8"/>
    <w:rsid w:val="00EA0DD3"/>
    <w:rsid w:val="00EA15E6"/>
    <w:rsid w:val="00EA2153"/>
    <w:rsid w:val="00EA2B52"/>
    <w:rsid w:val="00EA32E3"/>
    <w:rsid w:val="00EA3467"/>
    <w:rsid w:val="00EA3576"/>
    <w:rsid w:val="00EA6D7E"/>
    <w:rsid w:val="00EA75BD"/>
    <w:rsid w:val="00EB0BB5"/>
    <w:rsid w:val="00EB2371"/>
    <w:rsid w:val="00EB47BC"/>
    <w:rsid w:val="00EB4C8D"/>
    <w:rsid w:val="00EB4E74"/>
    <w:rsid w:val="00EB5DE8"/>
    <w:rsid w:val="00EC06F3"/>
    <w:rsid w:val="00EC1C8B"/>
    <w:rsid w:val="00EC1F50"/>
    <w:rsid w:val="00EC22FB"/>
    <w:rsid w:val="00EC2CE6"/>
    <w:rsid w:val="00EC3116"/>
    <w:rsid w:val="00EC64B7"/>
    <w:rsid w:val="00EC7FCC"/>
    <w:rsid w:val="00ED0FA3"/>
    <w:rsid w:val="00ED22CB"/>
    <w:rsid w:val="00ED280C"/>
    <w:rsid w:val="00ED3EC6"/>
    <w:rsid w:val="00ED5C1D"/>
    <w:rsid w:val="00EE0F7E"/>
    <w:rsid w:val="00EE1AF0"/>
    <w:rsid w:val="00EE2935"/>
    <w:rsid w:val="00EE2B1A"/>
    <w:rsid w:val="00EE3074"/>
    <w:rsid w:val="00EE5053"/>
    <w:rsid w:val="00EF47B6"/>
    <w:rsid w:val="00EF4B2B"/>
    <w:rsid w:val="00EF4C04"/>
    <w:rsid w:val="00EF57AB"/>
    <w:rsid w:val="00EF68D5"/>
    <w:rsid w:val="00EF7D19"/>
    <w:rsid w:val="00EF7F01"/>
    <w:rsid w:val="00F00220"/>
    <w:rsid w:val="00F00CB5"/>
    <w:rsid w:val="00F00DA4"/>
    <w:rsid w:val="00F05526"/>
    <w:rsid w:val="00F063A2"/>
    <w:rsid w:val="00F104A1"/>
    <w:rsid w:val="00F106AC"/>
    <w:rsid w:val="00F11DA3"/>
    <w:rsid w:val="00F13CA5"/>
    <w:rsid w:val="00F15781"/>
    <w:rsid w:val="00F168DF"/>
    <w:rsid w:val="00F171FB"/>
    <w:rsid w:val="00F20FE5"/>
    <w:rsid w:val="00F22913"/>
    <w:rsid w:val="00F23536"/>
    <w:rsid w:val="00F23D41"/>
    <w:rsid w:val="00F24E7A"/>
    <w:rsid w:val="00F33A1E"/>
    <w:rsid w:val="00F34676"/>
    <w:rsid w:val="00F359BB"/>
    <w:rsid w:val="00F36689"/>
    <w:rsid w:val="00F44EF2"/>
    <w:rsid w:val="00F4643A"/>
    <w:rsid w:val="00F47348"/>
    <w:rsid w:val="00F47CC9"/>
    <w:rsid w:val="00F508DC"/>
    <w:rsid w:val="00F542A0"/>
    <w:rsid w:val="00F54952"/>
    <w:rsid w:val="00F55D5B"/>
    <w:rsid w:val="00F55D6E"/>
    <w:rsid w:val="00F570BA"/>
    <w:rsid w:val="00F606A8"/>
    <w:rsid w:val="00F62AAB"/>
    <w:rsid w:val="00F63521"/>
    <w:rsid w:val="00F6522B"/>
    <w:rsid w:val="00F67617"/>
    <w:rsid w:val="00F67731"/>
    <w:rsid w:val="00F67EB6"/>
    <w:rsid w:val="00F70AE3"/>
    <w:rsid w:val="00F7174B"/>
    <w:rsid w:val="00F71E31"/>
    <w:rsid w:val="00F7349D"/>
    <w:rsid w:val="00F73EE1"/>
    <w:rsid w:val="00F76828"/>
    <w:rsid w:val="00F814BF"/>
    <w:rsid w:val="00F8252B"/>
    <w:rsid w:val="00F8316A"/>
    <w:rsid w:val="00F83F72"/>
    <w:rsid w:val="00F87C07"/>
    <w:rsid w:val="00F87F67"/>
    <w:rsid w:val="00F90132"/>
    <w:rsid w:val="00F93715"/>
    <w:rsid w:val="00F939D2"/>
    <w:rsid w:val="00F94091"/>
    <w:rsid w:val="00F95B68"/>
    <w:rsid w:val="00F96321"/>
    <w:rsid w:val="00F9706E"/>
    <w:rsid w:val="00FA1041"/>
    <w:rsid w:val="00FA10B2"/>
    <w:rsid w:val="00FA1A7F"/>
    <w:rsid w:val="00FA23CF"/>
    <w:rsid w:val="00FA612B"/>
    <w:rsid w:val="00FB07D4"/>
    <w:rsid w:val="00FB09F5"/>
    <w:rsid w:val="00FB1D9F"/>
    <w:rsid w:val="00FB2049"/>
    <w:rsid w:val="00FB218C"/>
    <w:rsid w:val="00FB2FB8"/>
    <w:rsid w:val="00FB6BCF"/>
    <w:rsid w:val="00FB6E3B"/>
    <w:rsid w:val="00FC0DE8"/>
    <w:rsid w:val="00FC26C2"/>
    <w:rsid w:val="00FC4B9E"/>
    <w:rsid w:val="00FC6A4A"/>
    <w:rsid w:val="00FD4653"/>
    <w:rsid w:val="00FD681E"/>
    <w:rsid w:val="00FE4D2A"/>
    <w:rsid w:val="00FE6FEF"/>
    <w:rsid w:val="00FF1ACB"/>
    <w:rsid w:val="00FF31B6"/>
    <w:rsid w:val="00FF403D"/>
    <w:rsid w:val="00FF4650"/>
    <w:rsid w:val="00FF7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BA6064"/>
  <w15:chartTrackingRefBased/>
  <w15:docId w15:val="{A2932BC5-3C16-4014-BB86-78A3784FF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6C1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6632C"/>
    <w:rPr>
      <w:color w:val="0000FF"/>
      <w:u w:val="single"/>
    </w:rPr>
  </w:style>
  <w:style w:type="character" w:styleId="Strong">
    <w:name w:val="Strong"/>
    <w:qFormat/>
    <w:rsid w:val="00E6632C"/>
    <w:rPr>
      <w:b/>
      <w:bCs/>
    </w:rPr>
  </w:style>
  <w:style w:type="character" w:styleId="Emphasis">
    <w:name w:val="Emphasis"/>
    <w:qFormat/>
    <w:rsid w:val="00E6632C"/>
    <w:rPr>
      <w:i/>
      <w:iCs/>
    </w:rPr>
  </w:style>
  <w:style w:type="character" w:styleId="FollowedHyperlink">
    <w:name w:val="FollowedHyperlink"/>
    <w:rsid w:val="00394375"/>
    <w:rPr>
      <w:color w:val="800080"/>
      <w:u w:val="single"/>
    </w:rPr>
  </w:style>
  <w:style w:type="paragraph" w:styleId="ListParagraph">
    <w:name w:val="List Paragraph"/>
    <w:basedOn w:val="Normal"/>
    <w:uiPriority w:val="34"/>
    <w:qFormat/>
    <w:rsid w:val="006D6382"/>
    <w:pPr>
      <w:ind w:left="720"/>
      <w:contextualSpacing/>
    </w:pPr>
  </w:style>
  <w:style w:type="paragraph" w:styleId="PlainText">
    <w:name w:val="Plain Text"/>
    <w:basedOn w:val="Normal"/>
    <w:link w:val="PlainTextChar"/>
    <w:uiPriority w:val="99"/>
    <w:unhideWhenUsed/>
    <w:rsid w:val="00566547"/>
    <w:rPr>
      <w:rFonts w:ascii="Trebuchet MS" w:eastAsia="Calibri" w:hAnsi="Trebuchet MS"/>
      <w:color w:val="000081"/>
      <w:sz w:val="22"/>
      <w:szCs w:val="21"/>
    </w:rPr>
  </w:style>
  <w:style w:type="character" w:customStyle="1" w:styleId="PlainTextChar">
    <w:name w:val="Plain Text Char"/>
    <w:link w:val="PlainText"/>
    <w:uiPriority w:val="99"/>
    <w:rsid w:val="00566547"/>
    <w:rPr>
      <w:rFonts w:ascii="Trebuchet MS" w:eastAsia="Calibri" w:hAnsi="Trebuchet MS"/>
      <w:color w:val="000081"/>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52187">
      <w:bodyDiv w:val="1"/>
      <w:marLeft w:val="0"/>
      <w:marRight w:val="0"/>
      <w:marTop w:val="0"/>
      <w:marBottom w:val="0"/>
      <w:divBdr>
        <w:top w:val="none" w:sz="0" w:space="0" w:color="auto"/>
        <w:left w:val="none" w:sz="0" w:space="0" w:color="auto"/>
        <w:bottom w:val="none" w:sz="0" w:space="0" w:color="auto"/>
        <w:right w:val="none" w:sz="0" w:space="0" w:color="auto"/>
      </w:divBdr>
    </w:div>
    <w:div w:id="55394804">
      <w:bodyDiv w:val="1"/>
      <w:marLeft w:val="0"/>
      <w:marRight w:val="0"/>
      <w:marTop w:val="0"/>
      <w:marBottom w:val="0"/>
      <w:divBdr>
        <w:top w:val="none" w:sz="0" w:space="0" w:color="auto"/>
        <w:left w:val="none" w:sz="0" w:space="0" w:color="auto"/>
        <w:bottom w:val="none" w:sz="0" w:space="0" w:color="auto"/>
        <w:right w:val="none" w:sz="0" w:space="0" w:color="auto"/>
      </w:divBdr>
    </w:div>
    <w:div w:id="62728113">
      <w:bodyDiv w:val="1"/>
      <w:marLeft w:val="0"/>
      <w:marRight w:val="0"/>
      <w:marTop w:val="0"/>
      <w:marBottom w:val="0"/>
      <w:divBdr>
        <w:top w:val="none" w:sz="0" w:space="0" w:color="auto"/>
        <w:left w:val="none" w:sz="0" w:space="0" w:color="auto"/>
        <w:bottom w:val="none" w:sz="0" w:space="0" w:color="auto"/>
        <w:right w:val="none" w:sz="0" w:space="0" w:color="auto"/>
      </w:divBdr>
    </w:div>
    <w:div w:id="62919563">
      <w:bodyDiv w:val="1"/>
      <w:marLeft w:val="0"/>
      <w:marRight w:val="0"/>
      <w:marTop w:val="0"/>
      <w:marBottom w:val="0"/>
      <w:divBdr>
        <w:top w:val="none" w:sz="0" w:space="0" w:color="auto"/>
        <w:left w:val="none" w:sz="0" w:space="0" w:color="auto"/>
        <w:bottom w:val="none" w:sz="0" w:space="0" w:color="auto"/>
        <w:right w:val="none" w:sz="0" w:space="0" w:color="auto"/>
      </w:divBdr>
    </w:div>
    <w:div w:id="103698695">
      <w:bodyDiv w:val="1"/>
      <w:marLeft w:val="0"/>
      <w:marRight w:val="0"/>
      <w:marTop w:val="0"/>
      <w:marBottom w:val="0"/>
      <w:divBdr>
        <w:top w:val="none" w:sz="0" w:space="0" w:color="auto"/>
        <w:left w:val="none" w:sz="0" w:space="0" w:color="auto"/>
        <w:bottom w:val="none" w:sz="0" w:space="0" w:color="auto"/>
        <w:right w:val="none" w:sz="0" w:space="0" w:color="auto"/>
      </w:divBdr>
    </w:div>
    <w:div w:id="146747726">
      <w:bodyDiv w:val="1"/>
      <w:marLeft w:val="0"/>
      <w:marRight w:val="0"/>
      <w:marTop w:val="0"/>
      <w:marBottom w:val="0"/>
      <w:divBdr>
        <w:top w:val="none" w:sz="0" w:space="0" w:color="auto"/>
        <w:left w:val="none" w:sz="0" w:space="0" w:color="auto"/>
        <w:bottom w:val="none" w:sz="0" w:space="0" w:color="auto"/>
        <w:right w:val="none" w:sz="0" w:space="0" w:color="auto"/>
      </w:divBdr>
    </w:div>
    <w:div w:id="163597500">
      <w:bodyDiv w:val="1"/>
      <w:marLeft w:val="0"/>
      <w:marRight w:val="0"/>
      <w:marTop w:val="0"/>
      <w:marBottom w:val="0"/>
      <w:divBdr>
        <w:top w:val="none" w:sz="0" w:space="0" w:color="auto"/>
        <w:left w:val="none" w:sz="0" w:space="0" w:color="auto"/>
        <w:bottom w:val="none" w:sz="0" w:space="0" w:color="auto"/>
        <w:right w:val="none" w:sz="0" w:space="0" w:color="auto"/>
      </w:divBdr>
    </w:div>
    <w:div w:id="226842810">
      <w:bodyDiv w:val="1"/>
      <w:marLeft w:val="0"/>
      <w:marRight w:val="0"/>
      <w:marTop w:val="0"/>
      <w:marBottom w:val="0"/>
      <w:divBdr>
        <w:top w:val="none" w:sz="0" w:space="0" w:color="auto"/>
        <w:left w:val="none" w:sz="0" w:space="0" w:color="auto"/>
        <w:bottom w:val="none" w:sz="0" w:space="0" w:color="auto"/>
        <w:right w:val="none" w:sz="0" w:space="0" w:color="auto"/>
      </w:divBdr>
    </w:div>
    <w:div w:id="236093031">
      <w:bodyDiv w:val="1"/>
      <w:marLeft w:val="0"/>
      <w:marRight w:val="0"/>
      <w:marTop w:val="0"/>
      <w:marBottom w:val="0"/>
      <w:divBdr>
        <w:top w:val="none" w:sz="0" w:space="0" w:color="auto"/>
        <w:left w:val="none" w:sz="0" w:space="0" w:color="auto"/>
        <w:bottom w:val="none" w:sz="0" w:space="0" w:color="auto"/>
        <w:right w:val="none" w:sz="0" w:space="0" w:color="auto"/>
      </w:divBdr>
    </w:div>
    <w:div w:id="254091780">
      <w:bodyDiv w:val="1"/>
      <w:marLeft w:val="0"/>
      <w:marRight w:val="0"/>
      <w:marTop w:val="0"/>
      <w:marBottom w:val="0"/>
      <w:divBdr>
        <w:top w:val="none" w:sz="0" w:space="0" w:color="auto"/>
        <w:left w:val="none" w:sz="0" w:space="0" w:color="auto"/>
        <w:bottom w:val="none" w:sz="0" w:space="0" w:color="auto"/>
        <w:right w:val="none" w:sz="0" w:space="0" w:color="auto"/>
      </w:divBdr>
    </w:div>
    <w:div w:id="264391132">
      <w:bodyDiv w:val="1"/>
      <w:marLeft w:val="0"/>
      <w:marRight w:val="0"/>
      <w:marTop w:val="0"/>
      <w:marBottom w:val="0"/>
      <w:divBdr>
        <w:top w:val="none" w:sz="0" w:space="0" w:color="auto"/>
        <w:left w:val="none" w:sz="0" w:space="0" w:color="auto"/>
        <w:bottom w:val="none" w:sz="0" w:space="0" w:color="auto"/>
        <w:right w:val="none" w:sz="0" w:space="0" w:color="auto"/>
      </w:divBdr>
    </w:div>
    <w:div w:id="281110644">
      <w:bodyDiv w:val="1"/>
      <w:marLeft w:val="0"/>
      <w:marRight w:val="0"/>
      <w:marTop w:val="0"/>
      <w:marBottom w:val="0"/>
      <w:divBdr>
        <w:top w:val="none" w:sz="0" w:space="0" w:color="auto"/>
        <w:left w:val="none" w:sz="0" w:space="0" w:color="auto"/>
        <w:bottom w:val="none" w:sz="0" w:space="0" w:color="auto"/>
        <w:right w:val="none" w:sz="0" w:space="0" w:color="auto"/>
      </w:divBdr>
    </w:div>
    <w:div w:id="283656907">
      <w:bodyDiv w:val="1"/>
      <w:marLeft w:val="0"/>
      <w:marRight w:val="0"/>
      <w:marTop w:val="0"/>
      <w:marBottom w:val="0"/>
      <w:divBdr>
        <w:top w:val="none" w:sz="0" w:space="0" w:color="auto"/>
        <w:left w:val="none" w:sz="0" w:space="0" w:color="auto"/>
        <w:bottom w:val="none" w:sz="0" w:space="0" w:color="auto"/>
        <w:right w:val="none" w:sz="0" w:space="0" w:color="auto"/>
      </w:divBdr>
    </w:div>
    <w:div w:id="371853771">
      <w:bodyDiv w:val="1"/>
      <w:marLeft w:val="0"/>
      <w:marRight w:val="0"/>
      <w:marTop w:val="0"/>
      <w:marBottom w:val="0"/>
      <w:divBdr>
        <w:top w:val="none" w:sz="0" w:space="0" w:color="auto"/>
        <w:left w:val="none" w:sz="0" w:space="0" w:color="auto"/>
        <w:bottom w:val="none" w:sz="0" w:space="0" w:color="auto"/>
        <w:right w:val="none" w:sz="0" w:space="0" w:color="auto"/>
      </w:divBdr>
    </w:div>
    <w:div w:id="383060928">
      <w:bodyDiv w:val="1"/>
      <w:marLeft w:val="0"/>
      <w:marRight w:val="0"/>
      <w:marTop w:val="0"/>
      <w:marBottom w:val="0"/>
      <w:divBdr>
        <w:top w:val="none" w:sz="0" w:space="0" w:color="auto"/>
        <w:left w:val="none" w:sz="0" w:space="0" w:color="auto"/>
        <w:bottom w:val="none" w:sz="0" w:space="0" w:color="auto"/>
        <w:right w:val="none" w:sz="0" w:space="0" w:color="auto"/>
      </w:divBdr>
    </w:div>
    <w:div w:id="393162450">
      <w:bodyDiv w:val="1"/>
      <w:marLeft w:val="0"/>
      <w:marRight w:val="0"/>
      <w:marTop w:val="0"/>
      <w:marBottom w:val="0"/>
      <w:divBdr>
        <w:top w:val="none" w:sz="0" w:space="0" w:color="auto"/>
        <w:left w:val="none" w:sz="0" w:space="0" w:color="auto"/>
        <w:bottom w:val="none" w:sz="0" w:space="0" w:color="auto"/>
        <w:right w:val="none" w:sz="0" w:space="0" w:color="auto"/>
      </w:divBdr>
    </w:div>
    <w:div w:id="424425129">
      <w:bodyDiv w:val="1"/>
      <w:marLeft w:val="0"/>
      <w:marRight w:val="0"/>
      <w:marTop w:val="0"/>
      <w:marBottom w:val="0"/>
      <w:divBdr>
        <w:top w:val="none" w:sz="0" w:space="0" w:color="auto"/>
        <w:left w:val="none" w:sz="0" w:space="0" w:color="auto"/>
        <w:bottom w:val="none" w:sz="0" w:space="0" w:color="auto"/>
        <w:right w:val="none" w:sz="0" w:space="0" w:color="auto"/>
      </w:divBdr>
    </w:div>
    <w:div w:id="487064744">
      <w:bodyDiv w:val="1"/>
      <w:marLeft w:val="0"/>
      <w:marRight w:val="0"/>
      <w:marTop w:val="0"/>
      <w:marBottom w:val="0"/>
      <w:divBdr>
        <w:top w:val="none" w:sz="0" w:space="0" w:color="auto"/>
        <w:left w:val="none" w:sz="0" w:space="0" w:color="auto"/>
        <w:bottom w:val="none" w:sz="0" w:space="0" w:color="auto"/>
        <w:right w:val="none" w:sz="0" w:space="0" w:color="auto"/>
      </w:divBdr>
    </w:div>
    <w:div w:id="527183591">
      <w:bodyDiv w:val="1"/>
      <w:marLeft w:val="0"/>
      <w:marRight w:val="0"/>
      <w:marTop w:val="0"/>
      <w:marBottom w:val="0"/>
      <w:divBdr>
        <w:top w:val="none" w:sz="0" w:space="0" w:color="auto"/>
        <w:left w:val="none" w:sz="0" w:space="0" w:color="auto"/>
        <w:bottom w:val="none" w:sz="0" w:space="0" w:color="auto"/>
        <w:right w:val="none" w:sz="0" w:space="0" w:color="auto"/>
      </w:divBdr>
    </w:div>
    <w:div w:id="557202950">
      <w:bodyDiv w:val="1"/>
      <w:marLeft w:val="0"/>
      <w:marRight w:val="0"/>
      <w:marTop w:val="0"/>
      <w:marBottom w:val="0"/>
      <w:divBdr>
        <w:top w:val="none" w:sz="0" w:space="0" w:color="auto"/>
        <w:left w:val="none" w:sz="0" w:space="0" w:color="auto"/>
        <w:bottom w:val="none" w:sz="0" w:space="0" w:color="auto"/>
        <w:right w:val="none" w:sz="0" w:space="0" w:color="auto"/>
      </w:divBdr>
    </w:div>
    <w:div w:id="626855386">
      <w:bodyDiv w:val="1"/>
      <w:marLeft w:val="0"/>
      <w:marRight w:val="0"/>
      <w:marTop w:val="0"/>
      <w:marBottom w:val="0"/>
      <w:divBdr>
        <w:top w:val="none" w:sz="0" w:space="0" w:color="auto"/>
        <w:left w:val="none" w:sz="0" w:space="0" w:color="auto"/>
        <w:bottom w:val="none" w:sz="0" w:space="0" w:color="auto"/>
        <w:right w:val="none" w:sz="0" w:space="0" w:color="auto"/>
      </w:divBdr>
    </w:div>
    <w:div w:id="857699647">
      <w:bodyDiv w:val="1"/>
      <w:marLeft w:val="0"/>
      <w:marRight w:val="0"/>
      <w:marTop w:val="0"/>
      <w:marBottom w:val="0"/>
      <w:divBdr>
        <w:top w:val="none" w:sz="0" w:space="0" w:color="auto"/>
        <w:left w:val="none" w:sz="0" w:space="0" w:color="auto"/>
        <w:bottom w:val="none" w:sz="0" w:space="0" w:color="auto"/>
        <w:right w:val="none" w:sz="0" w:space="0" w:color="auto"/>
      </w:divBdr>
    </w:div>
    <w:div w:id="966930677">
      <w:bodyDiv w:val="1"/>
      <w:marLeft w:val="0"/>
      <w:marRight w:val="0"/>
      <w:marTop w:val="0"/>
      <w:marBottom w:val="0"/>
      <w:divBdr>
        <w:top w:val="none" w:sz="0" w:space="0" w:color="auto"/>
        <w:left w:val="none" w:sz="0" w:space="0" w:color="auto"/>
        <w:bottom w:val="none" w:sz="0" w:space="0" w:color="auto"/>
        <w:right w:val="none" w:sz="0" w:space="0" w:color="auto"/>
      </w:divBdr>
    </w:div>
    <w:div w:id="971323113">
      <w:bodyDiv w:val="1"/>
      <w:marLeft w:val="0"/>
      <w:marRight w:val="0"/>
      <w:marTop w:val="0"/>
      <w:marBottom w:val="0"/>
      <w:divBdr>
        <w:top w:val="none" w:sz="0" w:space="0" w:color="auto"/>
        <w:left w:val="none" w:sz="0" w:space="0" w:color="auto"/>
        <w:bottom w:val="none" w:sz="0" w:space="0" w:color="auto"/>
        <w:right w:val="none" w:sz="0" w:space="0" w:color="auto"/>
      </w:divBdr>
    </w:div>
    <w:div w:id="992220435">
      <w:bodyDiv w:val="1"/>
      <w:marLeft w:val="0"/>
      <w:marRight w:val="0"/>
      <w:marTop w:val="0"/>
      <w:marBottom w:val="0"/>
      <w:divBdr>
        <w:top w:val="none" w:sz="0" w:space="0" w:color="auto"/>
        <w:left w:val="none" w:sz="0" w:space="0" w:color="auto"/>
        <w:bottom w:val="none" w:sz="0" w:space="0" w:color="auto"/>
        <w:right w:val="none" w:sz="0" w:space="0" w:color="auto"/>
      </w:divBdr>
    </w:div>
    <w:div w:id="1000160351">
      <w:bodyDiv w:val="1"/>
      <w:marLeft w:val="0"/>
      <w:marRight w:val="0"/>
      <w:marTop w:val="0"/>
      <w:marBottom w:val="0"/>
      <w:divBdr>
        <w:top w:val="none" w:sz="0" w:space="0" w:color="auto"/>
        <w:left w:val="none" w:sz="0" w:space="0" w:color="auto"/>
        <w:bottom w:val="none" w:sz="0" w:space="0" w:color="auto"/>
        <w:right w:val="none" w:sz="0" w:space="0" w:color="auto"/>
      </w:divBdr>
    </w:div>
    <w:div w:id="1097796553">
      <w:bodyDiv w:val="1"/>
      <w:marLeft w:val="0"/>
      <w:marRight w:val="0"/>
      <w:marTop w:val="0"/>
      <w:marBottom w:val="0"/>
      <w:divBdr>
        <w:top w:val="none" w:sz="0" w:space="0" w:color="auto"/>
        <w:left w:val="none" w:sz="0" w:space="0" w:color="auto"/>
        <w:bottom w:val="none" w:sz="0" w:space="0" w:color="auto"/>
        <w:right w:val="none" w:sz="0" w:space="0" w:color="auto"/>
      </w:divBdr>
    </w:div>
    <w:div w:id="1143427298">
      <w:bodyDiv w:val="1"/>
      <w:marLeft w:val="0"/>
      <w:marRight w:val="0"/>
      <w:marTop w:val="0"/>
      <w:marBottom w:val="0"/>
      <w:divBdr>
        <w:top w:val="none" w:sz="0" w:space="0" w:color="auto"/>
        <w:left w:val="none" w:sz="0" w:space="0" w:color="auto"/>
        <w:bottom w:val="none" w:sz="0" w:space="0" w:color="auto"/>
        <w:right w:val="none" w:sz="0" w:space="0" w:color="auto"/>
      </w:divBdr>
    </w:div>
    <w:div w:id="1146511458">
      <w:bodyDiv w:val="1"/>
      <w:marLeft w:val="0"/>
      <w:marRight w:val="0"/>
      <w:marTop w:val="0"/>
      <w:marBottom w:val="0"/>
      <w:divBdr>
        <w:top w:val="none" w:sz="0" w:space="0" w:color="auto"/>
        <w:left w:val="none" w:sz="0" w:space="0" w:color="auto"/>
        <w:bottom w:val="none" w:sz="0" w:space="0" w:color="auto"/>
        <w:right w:val="none" w:sz="0" w:space="0" w:color="auto"/>
      </w:divBdr>
    </w:div>
    <w:div w:id="1312517139">
      <w:bodyDiv w:val="1"/>
      <w:marLeft w:val="0"/>
      <w:marRight w:val="0"/>
      <w:marTop w:val="0"/>
      <w:marBottom w:val="0"/>
      <w:divBdr>
        <w:top w:val="none" w:sz="0" w:space="0" w:color="auto"/>
        <w:left w:val="none" w:sz="0" w:space="0" w:color="auto"/>
        <w:bottom w:val="none" w:sz="0" w:space="0" w:color="auto"/>
        <w:right w:val="none" w:sz="0" w:space="0" w:color="auto"/>
      </w:divBdr>
    </w:div>
    <w:div w:id="1318194416">
      <w:bodyDiv w:val="1"/>
      <w:marLeft w:val="0"/>
      <w:marRight w:val="0"/>
      <w:marTop w:val="0"/>
      <w:marBottom w:val="0"/>
      <w:divBdr>
        <w:top w:val="none" w:sz="0" w:space="0" w:color="auto"/>
        <w:left w:val="none" w:sz="0" w:space="0" w:color="auto"/>
        <w:bottom w:val="none" w:sz="0" w:space="0" w:color="auto"/>
        <w:right w:val="none" w:sz="0" w:space="0" w:color="auto"/>
      </w:divBdr>
    </w:div>
    <w:div w:id="1356032235">
      <w:bodyDiv w:val="1"/>
      <w:marLeft w:val="0"/>
      <w:marRight w:val="0"/>
      <w:marTop w:val="0"/>
      <w:marBottom w:val="0"/>
      <w:divBdr>
        <w:top w:val="none" w:sz="0" w:space="0" w:color="auto"/>
        <w:left w:val="none" w:sz="0" w:space="0" w:color="auto"/>
        <w:bottom w:val="none" w:sz="0" w:space="0" w:color="auto"/>
        <w:right w:val="none" w:sz="0" w:space="0" w:color="auto"/>
      </w:divBdr>
    </w:div>
    <w:div w:id="1397315321">
      <w:bodyDiv w:val="1"/>
      <w:marLeft w:val="0"/>
      <w:marRight w:val="0"/>
      <w:marTop w:val="0"/>
      <w:marBottom w:val="0"/>
      <w:divBdr>
        <w:top w:val="none" w:sz="0" w:space="0" w:color="auto"/>
        <w:left w:val="none" w:sz="0" w:space="0" w:color="auto"/>
        <w:bottom w:val="none" w:sz="0" w:space="0" w:color="auto"/>
        <w:right w:val="none" w:sz="0" w:space="0" w:color="auto"/>
      </w:divBdr>
    </w:div>
    <w:div w:id="1510563021">
      <w:bodyDiv w:val="1"/>
      <w:marLeft w:val="0"/>
      <w:marRight w:val="0"/>
      <w:marTop w:val="0"/>
      <w:marBottom w:val="0"/>
      <w:divBdr>
        <w:top w:val="none" w:sz="0" w:space="0" w:color="auto"/>
        <w:left w:val="none" w:sz="0" w:space="0" w:color="auto"/>
        <w:bottom w:val="none" w:sz="0" w:space="0" w:color="auto"/>
        <w:right w:val="none" w:sz="0" w:space="0" w:color="auto"/>
      </w:divBdr>
    </w:div>
    <w:div w:id="1553493008">
      <w:bodyDiv w:val="1"/>
      <w:marLeft w:val="0"/>
      <w:marRight w:val="0"/>
      <w:marTop w:val="0"/>
      <w:marBottom w:val="0"/>
      <w:divBdr>
        <w:top w:val="none" w:sz="0" w:space="0" w:color="auto"/>
        <w:left w:val="none" w:sz="0" w:space="0" w:color="auto"/>
        <w:bottom w:val="none" w:sz="0" w:space="0" w:color="auto"/>
        <w:right w:val="none" w:sz="0" w:space="0" w:color="auto"/>
      </w:divBdr>
    </w:div>
    <w:div w:id="1649896493">
      <w:bodyDiv w:val="1"/>
      <w:marLeft w:val="0"/>
      <w:marRight w:val="0"/>
      <w:marTop w:val="0"/>
      <w:marBottom w:val="0"/>
      <w:divBdr>
        <w:top w:val="none" w:sz="0" w:space="0" w:color="auto"/>
        <w:left w:val="none" w:sz="0" w:space="0" w:color="auto"/>
        <w:bottom w:val="none" w:sz="0" w:space="0" w:color="auto"/>
        <w:right w:val="none" w:sz="0" w:space="0" w:color="auto"/>
      </w:divBdr>
    </w:div>
    <w:div w:id="1690108884">
      <w:bodyDiv w:val="1"/>
      <w:marLeft w:val="0"/>
      <w:marRight w:val="0"/>
      <w:marTop w:val="0"/>
      <w:marBottom w:val="0"/>
      <w:divBdr>
        <w:top w:val="none" w:sz="0" w:space="0" w:color="auto"/>
        <w:left w:val="none" w:sz="0" w:space="0" w:color="auto"/>
        <w:bottom w:val="none" w:sz="0" w:space="0" w:color="auto"/>
        <w:right w:val="none" w:sz="0" w:space="0" w:color="auto"/>
      </w:divBdr>
    </w:div>
    <w:div w:id="1750080852">
      <w:bodyDiv w:val="1"/>
      <w:marLeft w:val="0"/>
      <w:marRight w:val="0"/>
      <w:marTop w:val="0"/>
      <w:marBottom w:val="0"/>
      <w:divBdr>
        <w:top w:val="none" w:sz="0" w:space="0" w:color="auto"/>
        <w:left w:val="none" w:sz="0" w:space="0" w:color="auto"/>
        <w:bottom w:val="none" w:sz="0" w:space="0" w:color="auto"/>
        <w:right w:val="none" w:sz="0" w:space="0" w:color="auto"/>
      </w:divBdr>
    </w:div>
    <w:div w:id="1762027953">
      <w:bodyDiv w:val="1"/>
      <w:marLeft w:val="0"/>
      <w:marRight w:val="0"/>
      <w:marTop w:val="0"/>
      <w:marBottom w:val="0"/>
      <w:divBdr>
        <w:top w:val="none" w:sz="0" w:space="0" w:color="auto"/>
        <w:left w:val="none" w:sz="0" w:space="0" w:color="auto"/>
        <w:bottom w:val="none" w:sz="0" w:space="0" w:color="auto"/>
        <w:right w:val="none" w:sz="0" w:space="0" w:color="auto"/>
      </w:divBdr>
    </w:div>
    <w:div w:id="1816138559">
      <w:bodyDiv w:val="1"/>
      <w:marLeft w:val="0"/>
      <w:marRight w:val="0"/>
      <w:marTop w:val="0"/>
      <w:marBottom w:val="0"/>
      <w:divBdr>
        <w:top w:val="none" w:sz="0" w:space="0" w:color="auto"/>
        <w:left w:val="none" w:sz="0" w:space="0" w:color="auto"/>
        <w:bottom w:val="none" w:sz="0" w:space="0" w:color="auto"/>
        <w:right w:val="none" w:sz="0" w:space="0" w:color="auto"/>
      </w:divBdr>
    </w:div>
    <w:div w:id="1957370222">
      <w:bodyDiv w:val="1"/>
      <w:marLeft w:val="0"/>
      <w:marRight w:val="0"/>
      <w:marTop w:val="0"/>
      <w:marBottom w:val="0"/>
      <w:divBdr>
        <w:top w:val="none" w:sz="0" w:space="0" w:color="auto"/>
        <w:left w:val="none" w:sz="0" w:space="0" w:color="auto"/>
        <w:bottom w:val="none" w:sz="0" w:space="0" w:color="auto"/>
        <w:right w:val="none" w:sz="0" w:space="0" w:color="auto"/>
      </w:divBdr>
    </w:div>
    <w:div w:id="1963880419">
      <w:bodyDiv w:val="1"/>
      <w:marLeft w:val="0"/>
      <w:marRight w:val="0"/>
      <w:marTop w:val="0"/>
      <w:marBottom w:val="0"/>
      <w:divBdr>
        <w:top w:val="none" w:sz="0" w:space="0" w:color="auto"/>
        <w:left w:val="none" w:sz="0" w:space="0" w:color="auto"/>
        <w:bottom w:val="none" w:sz="0" w:space="0" w:color="auto"/>
        <w:right w:val="none" w:sz="0" w:space="0" w:color="auto"/>
      </w:divBdr>
    </w:div>
    <w:div w:id="1976596212">
      <w:bodyDiv w:val="1"/>
      <w:marLeft w:val="0"/>
      <w:marRight w:val="0"/>
      <w:marTop w:val="0"/>
      <w:marBottom w:val="0"/>
      <w:divBdr>
        <w:top w:val="none" w:sz="0" w:space="0" w:color="auto"/>
        <w:left w:val="none" w:sz="0" w:space="0" w:color="auto"/>
        <w:bottom w:val="none" w:sz="0" w:space="0" w:color="auto"/>
        <w:right w:val="none" w:sz="0" w:space="0" w:color="auto"/>
      </w:divBdr>
    </w:div>
    <w:div w:id="2052606089">
      <w:bodyDiv w:val="1"/>
      <w:marLeft w:val="0"/>
      <w:marRight w:val="0"/>
      <w:marTop w:val="0"/>
      <w:marBottom w:val="0"/>
      <w:divBdr>
        <w:top w:val="none" w:sz="0" w:space="0" w:color="auto"/>
        <w:left w:val="none" w:sz="0" w:space="0" w:color="auto"/>
        <w:bottom w:val="none" w:sz="0" w:space="0" w:color="auto"/>
        <w:right w:val="none" w:sz="0" w:space="0" w:color="auto"/>
      </w:divBdr>
    </w:div>
    <w:div w:id="213413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D653C-17A9-4919-8704-297850229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2150</Words>
  <Characters>12255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Good Afternoon</vt:lpstr>
    </vt:vector>
  </TitlesOfParts>
  <Company>remax real estate services</Company>
  <LinksUpToDate>false</LinksUpToDate>
  <CharactersWithSpaces>14377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Afternoon</dc:title>
  <dc:subject/>
  <dc:creator>Steven Thomas</dc:creator>
  <cp:keywords/>
  <cp:lastModifiedBy>Steven Thomas</cp:lastModifiedBy>
  <cp:revision>2</cp:revision>
  <cp:lastPrinted>2015-10-25T20:39:00Z</cp:lastPrinted>
  <dcterms:created xsi:type="dcterms:W3CDTF">2022-12-28T12:02:00Z</dcterms:created>
  <dcterms:modified xsi:type="dcterms:W3CDTF">2022-12-28T12:02:00Z</dcterms:modified>
</cp:coreProperties>
</file>